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FC55" w14:textId="77777777" w:rsidR="005F4C22" w:rsidRPr="005F4C22" w:rsidRDefault="005F4C22" w:rsidP="005F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2323"/>
          <w:spacing w:val="2"/>
          <w:sz w:val="24"/>
          <w:szCs w:val="24"/>
          <w:lang w:val="en-US"/>
        </w:rPr>
      </w:pPr>
      <w:r w:rsidRPr="005F4C22">
        <w:rPr>
          <w:rFonts w:ascii="Times New Roman" w:eastAsia="Calibri" w:hAnsi="Times New Roman" w:cs="Times New Roman"/>
          <w:b/>
          <w:bCs/>
          <w:color w:val="1C2323"/>
          <w:spacing w:val="2"/>
          <w:sz w:val="24"/>
          <w:szCs w:val="24"/>
          <w:lang w:val="en-US"/>
        </w:rPr>
        <w:t xml:space="preserve">REGULAMIN USTNEGO PRZETARGU NIEOGRANICZONEGO </w:t>
      </w:r>
      <w:r w:rsidRPr="005F4C22">
        <w:rPr>
          <w:rFonts w:ascii="Times New Roman" w:eastAsia="Calibri" w:hAnsi="Times New Roman" w:cs="Times New Roman"/>
          <w:b/>
          <w:bCs/>
          <w:color w:val="1C2323"/>
          <w:spacing w:val="2"/>
          <w:sz w:val="24"/>
          <w:szCs w:val="24"/>
          <w:lang w:val="en-US"/>
        </w:rPr>
        <w:br/>
      </w:r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NA SPRZEDAŻ SAMOCHODU</w:t>
      </w:r>
    </w:p>
    <w:p w14:paraId="0A3A585F" w14:textId="77777777" w:rsidR="005F4C22" w:rsidRPr="005F4C22" w:rsidRDefault="005F4C22" w:rsidP="005F4C22">
      <w:pPr>
        <w:spacing w:before="180" w:after="0" w:line="240" w:lineRule="auto"/>
        <w:jc w:val="center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§ 1.</w:t>
      </w:r>
    </w:p>
    <w:p w14:paraId="7B5CE1FD" w14:textId="77777777" w:rsidR="005F4C22" w:rsidRPr="005F4C22" w:rsidRDefault="005F4C22" w:rsidP="005F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Postanowienia</w:t>
      </w:r>
      <w:proofErr w:type="spellEnd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ogólne</w:t>
      </w:r>
      <w:proofErr w:type="spellEnd"/>
    </w:p>
    <w:p w14:paraId="3556B0EE" w14:textId="77777777" w:rsidR="005F4C22" w:rsidRPr="005F4C22" w:rsidRDefault="005F4C22" w:rsidP="005F4C22">
      <w:pPr>
        <w:numPr>
          <w:ilvl w:val="0"/>
          <w:numId w:val="1"/>
        </w:numPr>
        <w:tabs>
          <w:tab w:val="clear" w:pos="216"/>
          <w:tab w:val="decimal" w:pos="288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Organizatorem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przetargu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jest Wójt Gminy Wiśniew.</w:t>
      </w:r>
    </w:p>
    <w:p w14:paraId="59CE646A" w14:textId="77777777" w:rsidR="005F4C22" w:rsidRPr="005F4C22" w:rsidRDefault="005F4C22" w:rsidP="005F4C22">
      <w:pPr>
        <w:numPr>
          <w:ilvl w:val="0"/>
          <w:numId w:val="1"/>
        </w:numPr>
        <w:tabs>
          <w:tab w:val="clear" w:pos="216"/>
          <w:tab w:val="decimal" w:pos="288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Przetarg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ma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charakter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publiczny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i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odbywa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się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drodze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ustnej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licytacji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.</w:t>
      </w:r>
    </w:p>
    <w:p w14:paraId="5DEF1B0F" w14:textId="77777777" w:rsidR="005F4C22" w:rsidRPr="005F4C22" w:rsidRDefault="005F4C22" w:rsidP="005F4C22">
      <w:pPr>
        <w:spacing w:before="216" w:after="0" w:line="240" w:lineRule="auto"/>
        <w:ind w:left="4032"/>
        <w:jc w:val="both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 </w:t>
      </w:r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§ 2.</w:t>
      </w:r>
    </w:p>
    <w:p w14:paraId="38EE0583" w14:textId="77777777" w:rsidR="005F4C22" w:rsidRPr="005F4C22" w:rsidRDefault="005F4C22" w:rsidP="005F4C22">
      <w:pPr>
        <w:spacing w:after="0" w:line="240" w:lineRule="auto"/>
        <w:ind w:left="2736"/>
        <w:jc w:val="both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Termin</w:t>
      </w:r>
      <w:proofErr w:type="spellEnd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i</w:t>
      </w:r>
      <w:proofErr w:type="spellEnd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ogloszenie</w:t>
      </w:r>
      <w:proofErr w:type="spellEnd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przetargu</w:t>
      </w:r>
      <w:proofErr w:type="spellEnd"/>
    </w:p>
    <w:p w14:paraId="1E563E1F" w14:textId="674AA010" w:rsidR="005F4C22" w:rsidRPr="005F4C22" w:rsidRDefault="005F4C22" w:rsidP="005F4C22">
      <w:pPr>
        <w:numPr>
          <w:ilvl w:val="0"/>
          <w:numId w:val="2"/>
        </w:numPr>
        <w:tabs>
          <w:tab w:val="clear" w:pos="288"/>
          <w:tab w:val="decimal" w:pos="432"/>
        </w:tabs>
        <w:spacing w:after="0" w:line="240" w:lineRule="auto"/>
        <w:ind w:left="432" w:right="144" w:hanging="288"/>
        <w:jc w:val="both"/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Przetarg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odbędzie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się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dniu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19 </w:t>
      </w:r>
      <w:proofErr w:type="spellStart"/>
      <w:r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lutego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2021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roku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o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godzinie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12:00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siedzibie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Urzędu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Gminy Wiśniew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przy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ul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.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Siedleckiej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13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pokoju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nr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4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piętro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II </w:t>
      </w:r>
    </w:p>
    <w:p w14:paraId="6D99E255" w14:textId="77777777" w:rsidR="005F4C22" w:rsidRPr="005F4C22" w:rsidRDefault="005F4C22" w:rsidP="005F4C22">
      <w:pPr>
        <w:numPr>
          <w:ilvl w:val="0"/>
          <w:numId w:val="2"/>
        </w:numPr>
        <w:tabs>
          <w:tab w:val="clear" w:pos="288"/>
          <w:tab w:val="decimal" w:pos="432"/>
        </w:tabs>
        <w:spacing w:after="0" w:line="240" w:lineRule="auto"/>
        <w:ind w:left="432" w:hanging="288"/>
        <w:jc w:val="both"/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Licytację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ustną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wszczyna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się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poprzez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:</w:t>
      </w:r>
    </w:p>
    <w:p w14:paraId="438CC420" w14:textId="77777777" w:rsidR="005F4C22" w:rsidRPr="005F4C22" w:rsidRDefault="005F4C22" w:rsidP="005F4C22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40" w:lineRule="auto"/>
        <w:ind w:left="792" w:right="144" w:hanging="360"/>
        <w:jc w:val="both"/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Opublikowanie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ogłoszenia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o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licytacji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na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stronie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internetowej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hyperlink r:id="rId5">
        <w:r w:rsidRPr="005F4C22">
          <w:rPr>
            <w:rFonts w:ascii="Times New Roman" w:eastAsia="Calibri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www.wisniew.pl</w:t>
        </w:r>
      </w:hyperlink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oraz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>Biuletynie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>Informacji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>Publicznej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 xml:space="preserve"> Gminy Wiśniew </w:t>
      </w:r>
      <w:r w:rsidRPr="005F4C22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u w:val="single"/>
          <w:lang w:val="en-US"/>
        </w:rPr>
        <w:t>www.wisniew.e-bip.pl</w:t>
      </w:r>
    </w:p>
    <w:p w14:paraId="0A4CD32C" w14:textId="77777777" w:rsidR="005F4C22" w:rsidRPr="005F4C22" w:rsidRDefault="005F4C22" w:rsidP="005F4C22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40" w:lineRule="auto"/>
        <w:ind w:left="792" w:hanging="360"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Wywieszenie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treści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ogłoszenia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na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tablicy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ogłoszeń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siedzibie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Urzędu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Gminy.</w:t>
      </w:r>
    </w:p>
    <w:p w14:paraId="404E06C4" w14:textId="77777777" w:rsidR="005F4C22" w:rsidRPr="005F4C22" w:rsidRDefault="005F4C22" w:rsidP="005F4C22">
      <w:pPr>
        <w:spacing w:before="180" w:after="0" w:line="240" w:lineRule="auto"/>
        <w:ind w:left="4032"/>
        <w:jc w:val="both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 § 3.</w:t>
      </w:r>
    </w:p>
    <w:p w14:paraId="0C66677F" w14:textId="77777777" w:rsidR="005F4C22" w:rsidRPr="005F4C22" w:rsidRDefault="005F4C22" w:rsidP="005F4C22">
      <w:pPr>
        <w:spacing w:after="0" w:line="240" w:lineRule="auto"/>
        <w:ind w:left="3312"/>
        <w:jc w:val="both"/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</w:pP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Przedmiot</w:t>
      </w:r>
      <w:proofErr w:type="spellEnd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b/>
          <w:bCs/>
          <w:color w:val="1C2323"/>
          <w:sz w:val="24"/>
          <w:szCs w:val="24"/>
          <w:lang w:val="en-US"/>
        </w:rPr>
        <w:t>licytacji</w:t>
      </w:r>
      <w:proofErr w:type="spellEnd"/>
    </w:p>
    <w:p w14:paraId="4F9D21E4" w14:textId="77777777" w:rsidR="005F4C22" w:rsidRPr="00F4487C" w:rsidRDefault="005F4C22" w:rsidP="005F4C22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Przedmiotem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jest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sprzedaż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samochodu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ciężarowego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marki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VOLKSWAGEN </w:t>
      </w:r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TRANSPORTER T4 o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numerze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rejestracyjnym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WSI 15WF.</w:t>
      </w:r>
    </w:p>
    <w:p w14:paraId="5A2A0EDA" w14:textId="77777777" w:rsidR="005F4C22" w:rsidRPr="00F4487C" w:rsidRDefault="005F4C22" w:rsidP="005F4C22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Samochód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będący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przedmiotem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przetargu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można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oglądać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uprzednim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kontakcie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telefonicznym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z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kierownikiem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Referatu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Gospodarki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Komunalnej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Adamem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4"/>
          <w:sz w:val="24"/>
          <w:szCs w:val="24"/>
          <w:lang w:val="en-US"/>
        </w:rPr>
        <w:t>Krasuskim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tel.  695 990 728</w:t>
      </w:r>
    </w:p>
    <w:p w14:paraId="1A88B809" w14:textId="6CAF8C82" w:rsidR="005F4C22" w:rsidRPr="00F4487C" w:rsidRDefault="00F72FB0" w:rsidP="00F4487C">
      <w:pPr>
        <w:numPr>
          <w:ilvl w:val="0"/>
          <w:numId w:val="4"/>
        </w:numPr>
        <w:tabs>
          <w:tab w:val="clear" w:pos="360"/>
          <w:tab w:val="decimal" w:pos="426"/>
        </w:tabs>
        <w:spacing w:after="0" w:line="240" w:lineRule="auto"/>
        <w:ind w:left="432" w:hanging="360"/>
        <w:jc w:val="both"/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Wó</w:t>
      </w:r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jt Gminy Wiśniew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nie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bierze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odpowiedzialności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za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wady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ukryte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w </w:t>
      </w:r>
      <w:proofErr w:type="spellStart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samochodzie</w:t>
      </w:r>
      <w:proofErr w:type="spellEnd"/>
      <w:r w:rsidR="005F4C22"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.</w:t>
      </w:r>
    </w:p>
    <w:p w14:paraId="0A08E7E5" w14:textId="77777777" w:rsidR="005F4C22" w:rsidRPr="00F4487C" w:rsidRDefault="005F4C22" w:rsidP="005F4C22">
      <w:pPr>
        <w:spacing w:before="180" w:after="0" w:line="240" w:lineRule="auto"/>
        <w:ind w:left="4032"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§ 4.</w:t>
      </w:r>
    </w:p>
    <w:p w14:paraId="12B4FFA1" w14:textId="77777777" w:rsidR="005F4C22" w:rsidRPr="00F4487C" w:rsidRDefault="005F4C22" w:rsidP="005F4C22">
      <w:pPr>
        <w:spacing w:after="0" w:line="240" w:lineRule="auto"/>
        <w:ind w:left="3312"/>
        <w:jc w:val="both"/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>Uczestnicy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2"/>
          <w:sz w:val="24"/>
          <w:szCs w:val="24"/>
          <w:lang w:val="en-US"/>
        </w:rPr>
        <w:t>licytacji</w:t>
      </w:r>
      <w:proofErr w:type="spellEnd"/>
    </w:p>
    <w:p w14:paraId="489B4EFB" w14:textId="77777777" w:rsidR="00F4487C" w:rsidRPr="00F4487C" w:rsidRDefault="005F4C22" w:rsidP="005F4C22">
      <w:pPr>
        <w:numPr>
          <w:ilvl w:val="0"/>
          <w:numId w:val="5"/>
        </w:numPr>
        <w:tabs>
          <w:tab w:val="decimal" w:pos="432"/>
        </w:tabs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mogą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wziąć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udział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osoby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fizyczne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prawne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oraz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jednostki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organizacyjne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>nie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posiadające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osobowości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prawnej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które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stawią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na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siedzibie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Sprzedającego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</w:p>
    <w:p w14:paraId="44BF893F" w14:textId="34EB795A" w:rsidR="005F4C22" w:rsidRPr="00F4487C" w:rsidRDefault="005F4C22" w:rsidP="00F4487C">
      <w:pPr>
        <w:tabs>
          <w:tab w:val="decimal" w:pos="-360"/>
          <w:tab w:val="decimal" w:pos="432"/>
        </w:tabs>
        <w:spacing w:after="0" w:line="240" w:lineRule="auto"/>
        <w:ind w:left="432" w:right="144"/>
        <w:jc w:val="both"/>
        <w:rPr>
          <w:rFonts w:ascii="Times New Roman" w:eastAsia="Calibri" w:hAnsi="Times New Roman" w:cs="Times New Roman"/>
          <w:color w:val="1C2323"/>
          <w:spacing w:val="-9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dniu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przez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niego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wyznaczonym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.</w:t>
      </w:r>
    </w:p>
    <w:p w14:paraId="030113DA" w14:textId="77777777" w:rsidR="005F4C22" w:rsidRPr="00F4487C" w:rsidRDefault="005F4C22" w:rsidP="005F4C22">
      <w:pPr>
        <w:numPr>
          <w:ilvl w:val="0"/>
          <w:numId w:val="5"/>
        </w:numPr>
        <w:tabs>
          <w:tab w:val="decimal" w:pos="432"/>
        </w:tabs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Oświadczenia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woli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imieniu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uczestnika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mogą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składać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wyłącznie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uczestnik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lub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osoba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przez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niego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wskazana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wcześniejszym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przedłożeniu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stosownego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>pisemnego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7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pełnomocnictwa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.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Pełnomocnictwo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winno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był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złożone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formie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oryginału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lub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>kopii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potwierdzonej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za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zgodność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z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oryginałem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przez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uczestnika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postępowania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.</w:t>
      </w:r>
    </w:p>
    <w:p w14:paraId="5B633D21" w14:textId="77777777" w:rsidR="005F4C22" w:rsidRPr="00F4487C" w:rsidRDefault="005F4C22" w:rsidP="005F4C22">
      <w:pPr>
        <w:numPr>
          <w:ilvl w:val="0"/>
          <w:numId w:val="5"/>
        </w:numPr>
        <w:tabs>
          <w:tab w:val="decimal" w:pos="432"/>
        </w:tabs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nie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mogą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uczestniczyć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prowadzący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licytacje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oraz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osoby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bliskie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tej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>osoby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1"/>
          <w:sz w:val="24"/>
          <w:szCs w:val="24"/>
          <w:lang w:val="en-US"/>
        </w:rPr>
        <w:t xml:space="preserve">, </w:t>
      </w:r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a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także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osoby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które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pozostają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takim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stosunku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prawnym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lub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faktycznym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że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mo</w:t>
      </w:r>
      <w:r w:rsidRPr="00820CBA">
        <w:rPr>
          <w:rFonts w:ascii="Times New Roman" w:eastAsia="Calibri" w:hAnsi="Times New Roman" w:cs="Times New Roman"/>
          <w:color w:val="1C2323"/>
          <w:spacing w:val="-3"/>
          <w:w w:val="160"/>
          <w:sz w:val="24"/>
          <w:szCs w:val="24"/>
          <w:lang w:val="en-US"/>
        </w:rPr>
        <w:t>ż</w:t>
      </w:r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budzić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to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uzasadnione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wątpliwości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 xml:space="preserve"> co do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bezstronności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4"/>
          <w:sz w:val="24"/>
          <w:szCs w:val="24"/>
          <w:lang w:val="en-US"/>
        </w:rPr>
        <w:t>.</w:t>
      </w:r>
    </w:p>
    <w:p w14:paraId="092CF7E8" w14:textId="77777777" w:rsidR="005F4C22" w:rsidRPr="00F4487C" w:rsidRDefault="005F4C22" w:rsidP="005F4C22">
      <w:pPr>
        <w:spacing w:before="18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                                                      § 5.</w:t>
      </w:r>
    </w:p>
    <w:p w14:paraId="1D2F2C64" w14:textId="77777777" w:rsidR="005F4C22" w:rsidRPr="00F4487C" w:rsidRDefault="005F4C22" w:rsidP="005F4C22">
      <w:pPr>
        <w:spacing w:after="0" w:line="240" w:lineRule="auto"/>
        <w:jc w:val="center"/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Komisja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6"/>
          <w:sz w:val="24"/>
          <w:szCs w:val="24"/>
          <w:lang w:val="en-US"/>
        </w:rPr>
        <w:t>przetargowa</w:t>
      </w:r>
      <w:proofErr w:type="spellEnd"/>
    </w:p>
    <w:p w14:paraId="35C6B924" w14:textId="77777777" w:rsidR="005F4C22" w:rsidRPr="00F4487C" w:rsidRDefault="005F4C22" w:rsidP="005F4C22">
      <w:pPr>
        <w:numPr>
          <w:ilvl w:val="0"/>
          <w:numId w:val="6"/>
        </w:numPr>
        <w:tabs>
          <w:tab w:val="clear" w:pos="288"/>
          <w:tab w:val="decimal" w:pos="432"/>
        </w:tabs>
        <w:spacing w:after="0" w:line="240" w:lineRule="auto"/>
        <w:ind w:left="432" w:right="144" w:hanging="288"/>
        <w:jc w:val="both"/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Przetarg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prowadzi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komisja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przetargowa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powołana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Zarządzeniem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Wójta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Gminy </w:t>
      </w:r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Wiśniew.</w:t>
      </w:r>
    </w:p>
    <w:p w14:paraId="23B9787D" w14:textId="77777777" w:rsidR="005F4C22" w:rsidRPr="00F4487C" w:rsidRDefault="005F4C22" w:rsidP="005F4C22">
      <w:pPr>
        <w:numPr>
          <w:ilvl w:val="0"/>
          <w:numId w:val="6"/>
        </w:numPr>
        <w:tabs>
          <w:tab w:val="clear" w:pos="288"/>
          <w:tab w:val="decimal" w:pos="432"/>
        </w:tabs>
        <w:spacing w:after="0" w:line="240" w:lineRule="auto"/>
        <w:ind w:left="432" w:right="144" w:hanging="288"/>
        <w:jc w:val="both"/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Komisja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pełni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swoje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obowiązki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od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dnia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powołania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do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dnia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zatwierdzenia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>przez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Przewodniczącego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komisji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przetargowej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protokołu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końcowego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z </w:t>
      </w:r>
      <w:proofErr w:type="spellStart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przetargu</w:t>
      </w:r>
      <w:proofErr w:type="spellEnd"/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.</w:t>
      </w:r>
    </w:p>
    <w:p w14:paraId="1D502828" w14:textId="77777777" w:rsidR="005F4C22" w:rsidRPr="00F4487C" w:rsidRDefault="005F4C22" w:rsidP="005F4C22">
      <w:pPr>
        <w:spacing w:before="180" w:after="0" w:line="240" w:lineRule="auto"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                                                                  § 6.</w:t>
      </w:r>
    </w:p>
    <w:p w14:paraId="27214AB8" w14:textId="77777777" w:rsidR="005F4C22" w:rsidRPr="00F4487C" w:rsidRDefault="005F4C22" w:rsidP="005F4C22">
      <w:pPr>
        <w:spacing w:after="0" w:line="196" w:lineRule="auto"/>
        <w:jc w:val="both"/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F4487C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Wadium</w:t>
      </w:r>
      <w:proofErr w:type="spellEnd"/>
    </w:p>
    <w:p w14:paraId="433C338F" w14:textId="77777777" w:rsidR="005F4C22" w:rsidRPr="005F4C22" w:rsidRDefault="005F4C22" w:rsidP="005F4C22">
      <w:pPr>
        <w:spacing w:after="0" w:line="240" w:lineRule="auto"/>
        <w:ind w:left="432" w:right="144" w:hanging="360"/>
        <w:jc w:val="both"/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1</w:t>
      </w:r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.  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Udział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licytacji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wymaga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wniesienia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wadium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w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wysokości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10%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ceny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>wywoławczej</w:t>
      </w:r>
      <w:proofErr w:type="spellEnd"/>
      <w:r w:rsidRPr="005F4C22">
        <w:rPr>
          <w:rFonts w:ascii="Times New Roman" w:eastAsia="Calibri" w:hAnsi="Times New Roman" w:cs="Times New Roman"/>
          <w:color w:val="1C2323"/>
          <w:spacing w:val="-3"/>
          <w:sz w:val="24"/>
          <w:szCs w:val="24"/>
          <w:lang w:val="en-US"/>
        </w:rPr>
        <w:t xml:space="preserve">,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które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należy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wpłacić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na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konto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 </w:t>
      </w:r>
      <w:proofErr w:type="spellStart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>Sprzedającego</w:t>
      </w:r>
      <w:proofErr w:type="spellEnd"/>
      <w:r w:rsidRPr="005F4C22">
        <w:rPr>
          <w:rFonts w:ascii="Times New Roman" w:eastAsia="Calibri" w:hAnsi="Times New Roman" w:cs="Times New Roman"/>
          <w:color w:val="1C2323"/>
          <w:sz w:val="24"/>
          <w:szCs w:val="24"/>
          <w:lang w:val="en-US"/>
        </w:rPr>
        <w:t xml:space="preserve">: </w:t>
      </w:r>
      <w:proofErr w:type="spellStart"/>
      <w:r w:rsidRPr="005F4C22">
        <w:rPr>
          <w:rFonts w:ascii="Times New Roman" w:eastAsia="Calibri" w:hAnsi="Times New Roman" w:cs="Times New Roman"/>
          <w:b/>
          <w:color w:val="1C2323"/>
          <w:sz w:val="24"/>
          <w:szCs w:val="24"/>
          <w:lang w:val="en-US"/>
        </w:rPr>
        <w:t>Międzygminny</w:t>
      </w:r>
      <w:proofErr w:type="spellEnd"/>
      <w:r w:rsidRPr="005F4C22">
        <w:rPr>
          <w:rFonts w:ascii="Times New Roman" w:eastAsia="Calibri" w:hAnsi="Times New Roman" w:cs="Times New Roman"/>
          <w:b/>
          <w:color w:val="1C2323"/>
          <w:sz w:val="24"/>
          <w:szCs w:val="24"/>
          <w:lang w:val="en-US"/>
        </w:rPr>
        <w:t xml:space="preserve"> Bank </w:t>
      </w:r>
      <w:proofErr w:type="spellStart"/>
      <w:r w:rsidRPr="005F4C22">
        <w:rPr>
          <w:rFonts w:ascii="Times New Roman" w:eastAsia="Calibri" w:hAnsi="Times New Roman" w:cs="Times New Roman"/>
          <w:b/>
          <w:color w:val="1C2323"/>
          <w:sz w:val="24"/>
          <w:szCs w:val="24"/>
          <w:lang w:val="en-US"/>
        </w:rPr>
        <w:t>Spółdzielczy</w:t>
      </w:r>
      <w:proofErr w:type="spellEnd"/>
    </w:p>
    <w:p w14:paraId="2D05B597" w14:textId="5D0428A0" w:rsidR="00C86263" w:rsidRDefault="00C86263"/>
    <w:p w14:paraId="5580DE5E" w14:textId="289A2D6C" w:rsidR="00F4487C" w:rsidRDefault="00F4487C" w:rsidP="00FE2504">
      <w:pPr>
        <w:spacing w:after="0" w:line="240" w:lineRule="auto"/>
        <w:ind w:left="426" w:right="216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lastRenderedPageBreak/>
        <w:t>Zbuczyn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O/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t>Wisniew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t>Nr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34 9198 0003 0100 1007 2001 0020, </w:t>
      </w:r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 xml:space="preserve">z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>dopiskiem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>wadium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 xml:space="preserve">   </w:t>
      </w:r>
      <w:r w:rsidRPr="00F4487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br/>
        <w:t xml:space="preserve">w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postępowaniu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ustny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przetarg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nieograniczony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: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sprzedaż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 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>samochodu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VOLKSWAGEN TRANSPORTER T4.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Za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termin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wniesienia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wadium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formie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pieniężnej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zostanie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przyjęty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termin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uznania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rachunku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  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Zamawiającego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.</w:t>
      </w:r>
    </w:p>
    <w:p w14:paraId="3DCD4155" w14:textId="77777777" w:rsidR="0021017D" w:rsidRPr="00F4487C" w:rsidRDefault="0021017D" w:rsidP="0021017D">
      <w:pPr>
        <w:spacing w:after="0" w:line="240" w:lineRule="auto"/>
        <w:ind w:left="426" w:right="216"/>
        <w:jc w:val="both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val="en-US"/>
        </w:rPr>
      </w:pPr>
    </w:p>
    <w:p w14:paraId="4BDFA8F2" w14:textId="3374C5DF" w:rsidR="00F4487C" w:rsidRPr="00F4487C" w:rsidRDefault="00FE2504" w:rsidP="00820CBA">
      <w:pPr>
        <w:numPr>
          <w:ilvl w:val="0"/>
          <w:numId w:val="8"/>
        </w:numPr>
        <w:tabs>
          <w:tab w:val="decimal" w:pos="284"/>
          <w:tab w:val="decimal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Wadium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wnosi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się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wyłącznie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w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pieniądzu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14:paraId="5E611BDC" w14:textId="576B8E22" w:rsidR="00F4487C" w:rsidRPr="00F4487C" w:rsidRDefault="00FE2504" w:rsidP="00820CBA">
      <w:pPr>
        <w:numPr>
          <w:ilvl w:val="0"/>
          <w:numId w:val="8"/>
        </w:numPr>
        <w:tabs>
          <w:tab w:val="decimal" w:pos="284"/>
          <w:tab w:val="decimal" w:pos="851"/>
        </w:tabs>
        <w:spacing w:after="0" w:line="240" w:lineRule="auto"/>
        <w:ind w:left="360" w:right="216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Dowód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wniesienia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wadium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uczestnik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przetargu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przekłada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komisji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przetargowej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przed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otwarciem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przetargu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.</w:t>
      </w:r>
    </w:p>
    <w:p w14:paraId="4E76BFDB" w14:textId="3E2EDA46" w:rsidR="00F4487C" w:rsidRPr="00F4487C" w:rsidRDefault="00FE2504" w:rsidP="00820CBA">
      <w:pPr>
        <w:numPr>
          <w:ilvl w:val="0"/>
          <w:numId w:val="8"/>
        </w:numPr>
        <w:tabs>
          <w:tab w:val="decimal" w:pos="284"/>
          <w:tab w:val="decimal" w:pos="851"/>
        </w:tabs>
        <w:spacing w:after="0" w:line="240" w:lineRule="auto"/>
        <w:ind w:left="360" w:right="216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Wadium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wpłacone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przez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uczestnika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,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który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wygrał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licytację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zalicza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się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na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poczet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ceny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nabycia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3CAB14D8" w14:textId="26787A6F" w:rsidR="00F4487C" w:rsidRPr="00F4487C" w:rsidRDefault="00FE2504" w:rsidP="00820CBA">
      <w:pPr>
        <w:numPr>
          <w:ilvl w:val="0"/>
          <w:numId w:val="8"/>
        </w:numPr>
        <w:tabs>
          <w:tab w:val="decimal" w:pos="284"/>
          <w:tab w:val="decimal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Wadium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nie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podlega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zwrotowi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w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przypadku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gdy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:</w:t>
      </w:r>
    </w:p>
    <w:p w14:paraId="0A4B659C" w14:textId="76FDC757" w:rsidR="00F4487C" w:rsidRPr="00F4487C" w:rsidRDefault="00FE2504" w:rsidP="00820CBA">
      <w:pPr>
        <w:numPr>
          <w:ilvl w:val="0"/>
          <w:numId w:val="10"/>
        </w:numPr>
        <w:tabs>
          <w:tab w:val="decimal" w:pos="284"/>
          <w:tab w:val="decimal" w:pos="720"/>
          <w:tab w:val="decimal" w:pos="851"/>
        </w:tabs>
        <w:spacing w:after="0" w:line="240" w:lineRule="auto"/>
        <w:ind w:left="454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Uczestnik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licytacji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który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wygrał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uchyla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się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od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zawarcia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umowy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sprzedaży</w:t>
      </w:r>
      <w:proofErr w:type="spellEnd"/>
      <w:r w:rsidR="00F4487C" w:rsidRPr="00F4487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;</w:t>
      </w:r>
    </w:p>
    <w:p w14:paraId="0985BB8F" w14:textId="77777777" w:rsidR="00F4487C" w:rsidRPr="00F4487C" w:rsidRDefault="00F4487C" w:rsidP="00820CBA">
      <w:pPr>
        <w:numPr>
          <w:ilvl w:val="0"/>
          <w:numId w:val="10"/>
        </w:numPr>
        <w:tabs>
          <w:tab w:val="decimal" w:pos="284"/>
          <w:tab w:val="decimal" w:pos="720"/>
          <w:tab w:val="decimal" w:pos="851"/>
        </w:tabs>
        <w:spacing w:after="0" w:line="240" w:lineRule="auto"/>
        <w:ind w:left="528" w:hanging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Jeżeli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nabywca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zapłaci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ceny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nabycia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wyznaczonym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6A792507" w14:textId="77777777" w:rsidR="00F4487C" w:rsidRPr="00F4487C" w:rsidRDefault="00F4487C" w:rsidP="00820CBA">
      <w:pPr>
        <w:spacing w:before="180" w:after="0" w:line="240" w:lineRule="auto"/>
        <w:ind w:left="403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§ 7.</w:t>
      </w:r>
    </w:p>
    <w:p w14:paraId="448E73B4" w14:textId="77777777" w:rsidR="00F4487C" w:rsidRPr="00F4487C" w:rsidRDefault="00F4487C" w:rsidP="00F4487C">
      <w:pPr>
        <w:spacing w:after="0" w:line="240" w:lineRule="auto"/>
        <w:ind w:left="3384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>Przebieg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>licytacji</w:t>
      </w:r>
      <w:proofErr w:type="spellEnd"/>
    </w:p>
    <w:p w14:paraId="027F4181" w14:textId="77777777" w:rsidR="00820CBA" w:rsidRDefault="00F4487C" w:rsidP="00820CBA">
      <w:pPr>
        <w:numPr>
          <w:ilvl w:val="0"/>
          <w:numId w:val="7"/>
        </w:numPr>
        <w:spacing w:after="0" w:line="240" w:lineRule="auto"/>
        <w:ind w:right="216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Przed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rozpoczęciem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uczestnicy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składają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>oświadczenie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zapoznaniu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</w:p>
    <w:p w14:paraId="27F9AB64" w14:textId="3B81ED74" w:rsidR="00F4487C" w:rsidRPr="00F4487C" w:rsidRDefault="00F4487C" w:rsidP="00820CBA">
      <w:pPr>
        <w:spacing w:after="0" w:line="240" w:lineRule="auto"/>
        <w:ind w:left="360" w:right="216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ze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stanem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prawnym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faktycznym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samochodu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stanowiące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/>
        </w:rPr>
        <w:t>załącznik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/>
        </w:rPr>
        <w:t>nr</w:t>
      </w:r>
      <w:proofErr w:type="spellEnd"/>
      <w:r w:rsidRPr="00F4487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 1 </w:t>
      </w:r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do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niniejszego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Regulaminu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1C4D0961" w14:textId="77777777" w:rsidR="00820CBA" w:rsidRPr="00820CBA" w:rsidRDefault="00F4487C" w:rsidP="00820CBA">
      <w:pPr>
        <w:numPr>
          <w:ilvl w:val="0"/>
          <w:numId w:val="7"/>
        </w:numPr>
        <w:spacing w:after="0" w:line="240" w:lineRule="auto"/>
        <w:ind w:right="21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w w:val="95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Przed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rozpoczęciem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członkowie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komisji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przetargowej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zbierają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informacje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</w:p>
    <w:p w14:paraId="527168F9" w14:textId="77777777" w:rsidR="00820CBA" w:rsidRPr="00820CBA" w:rsidRDefault="00F4487C" w:rsidP="00820CBA">
      <w:pPr>
        <w:numPr>
          <w:ilvl w:val="0"/>
          <w:numId w:val="7"/>
        </w:numPr>
        <w:spacing w:after="0" w:line="240" w:lineRule="auto"/>
        <w:ind w:right="21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w w:val="95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danych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osobowych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uczestników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przetargu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.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Spisują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numery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dokumentów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tożsamości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zbiorą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pełnomocnictwa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(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jeżeli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bedą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potrzebne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)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oraz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przypadku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osób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prawnych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>innych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jednostek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organizacyjnych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posiadających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osobowości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prawnej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aktualne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wpisy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</w:p>
    <w:p w14:paraId="3030DD7E" w14:textId="526D9EC9" w:rsidR="00F4487C" w:rsidRPr="00F4487C" w:rsidRDefault="00F4487C" w:rsidP="00820CBA">
      <w:pPr>
        <w:spacing w:after="0" w:line="240" w:lineRule="auto"/>
        <w:ind w:left="360" w:right="21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w w:val="95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z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właściwych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rejestrów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.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Komisja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przetargowa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sprawdza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rownież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prawidłowość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wniesionego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wadium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oraz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złożonego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oświadczenia</w:t>
      </w:r>
      <w:proofErr w:type="spellEnd"/>
    </w:p>
    <w:p w14:paraId="5DADED29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Licytacje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prowadzi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przewodniczący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komisji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przetargowej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.</w:t>
      </w:r>
    </w:p>
    <w:p w14:paraId="559904A6" w14:textId="03C5A13C" w:rsidR="00FE2504" w:rsidRPr="00F4487C" w:rsidRDefault="00F4487C" w:rsidP="00820C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Po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otwarciu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Przewodniczący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podaje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licytantom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do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wiadomości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:</w:t>
      </w:r>
    </w:p>
    <w:p w14:paraId="0AE99D5F" w14:textId="77777777" w:rsidR="00F4487C" w:rsidRPr="00F4487C" w:rsidRDefault="00F4487C" w:rsidP="00820CBA">
      <w:pPr>
        <w:numPr>
          <w:ilvl w:val="0"/>
          <w:numId w:val="9"/>
        </w:numPr>
        <w:tabs>
          <w:tab w:val="decimal" w:pos="792"/>
        </w:tabs>
        <w:spacing w:after="0" w:line="240" w:lineRule="auto"/>
        <w:ind w:left="794" w:hanging="368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Przedmiot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;</w:t>
      </w:r>
    </w:p>
    <w:p w14:paraId="3F46EB33" w14:textId="77777777" w:rsidR="00F4487C" w:rsidRPr="00F4487C" w:rsidRDefault="00F4487C" w:rsidP="00820CBA">
      <w:pPr>
        <w:numPr>
          <w:ilvl w:val="0"/>
          <w:numId w:val="9"/>
        </w:numPr>
        <w:tabs>
          <w:tab w:val="decimal" w:pos="792"/>
        </w:tabs>
        <w:spacing w:after="0" w:line="240" w:lineRule="auto"/>
        <w:ind w:left="794" w:hanging="368"/>
        <w:contextualSpacing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val="en-US"/>
        </w:rPr>
        <w:t>Cenę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val="en-US"/>
        </w:rPr>
        <w:t>wywoławczą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val="en-US"/>
        </w:rPr>
        <w:t>;</w:t>
      </w:r>
    </w:p>
    <w:p w14:paraId="1EB9EB61" w14:textId="77777777" w:rsidR="00F4487C" w:rsidRPr="00F4487C" w:rsidRDefault="00F4487C" w:rsidP="00820CBA">
      <w:pPr>
        <w:numPr>
          <w:ilvl w:val="0"/>
          <w:numId w:val="9"/>
        </w:numPr>
        <w:tabs>
          <w:tab w:val="decimal" w:pos="792"/>
        </w:tabs>
        <w:spacing w:after="0" w:line="240" w:lineRule="auto"/>
        <w:ind w:left="794" w:hanging="368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Warunki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dotyczące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wysokości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postąpienia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;</w:t>
      </w:r>
    </w:p>
    <w:p w14:paraId="5D87B8A3" w14:textId="77777777" w:rsidR="00F4487C" w:rsidRPr="00F4487C" w:rsidRDefault="00F4487C" w:rsidP="00820CBA">
      <w:pPr>
        <w:numPr>
          <w:ilvl w:val="0"/>
          <w:numId w:val="9"/>
        </w:numPr>
        <w:tabs>
          <w:tab w:val="decimal" w:pos="792"/>
        </w:tabs>
        <w:spacing w:after="0" w:line="240" w:lineRule="auto"/>
        <w:ind w:left="794" w:hanging="368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Termin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podpisania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umowy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uiszczenia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ceny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nabycia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;</w:t>
      </w:r>
    </w:p>
    <w:p w14:paraId="1B70487E" w14:textId="77777777" w:rsidR="00FE2504" w:rsidRDefault="00F4487C" w:rsidP="00820CBA">
      <w:pPr>
        <w:numPr>
          <w:ilvl w:val="0"/>
          <w:numId w:val="9"/>
        </w:numPr>
        <w:tabs>
          <w:tab w:val="decimal" w:pos="792"/>
        </w:tabs>
        <w:spacing w:after="0" w:line="240" w:lineRule="auto"/>
        <w:ind w:left="794" w:right="216" w:hanging="368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Nazwy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(firm)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lub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imiona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nazwiska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licytantów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którzy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wpłacili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wadium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</w:p>
    <w:p w14:paraId="69F8945A" w14:textId="4FC73949" w:rsidR="00F4487C" w:rsidRDefault="00F4487C" w:rsidP="00820CBA">
      <w:pPr>
        <w:tabs>
          <w:tab w:val="decimal" w:pos="792"/>
        </w:tabs>
        <w:spacing w:after="0" w:line="240" w:lineRule="auto"/>
        <w:ind w:left="794" w:right="215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zostali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dopuszczeni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do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;</w:t>
      </w:r>
    </w:p>
    <w:p w14:paraId="28ED9218" w14:textId="77777777" w:rsidR="00230D7E" w:rsidRPr="00F4487C" w:rsidRDefault="00230D7E" w:rsidP="00820CBA">
      <w:pPr>
        <w:tabs>
          <w:tab w:val="decimal" w:pos="792"/>
        </w:tabs>
        <w:spacing w:after="0" w:line="240" w:lineRule="auto"/>
        <w:ind w:left="794" w:right="215"/>
        <w:contextualSpacing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</w:pPr>
    </w:p>
    <w:p w14:paraId="00602C72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Stawienie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jednego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uczestnika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pozwala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przeprowadzenie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14:paraId="0495CC89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Licytacja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rozpoczyna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od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podania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ceny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wywoławczej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.</w:t>
      </w:r>
    </w:p>
    <w:p w14:paraId="01D46350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21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Ustala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minimalną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wysokość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postąpienia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w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wysokości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100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zł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.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Zaoferowana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cena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przestaje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wiązać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licytanta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gdy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inny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licytant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zaoferował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cenę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wyższą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14:paraId="4BF2B71C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</w:pPr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Po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ustaniu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postąpień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prowadzący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licytacje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uprzedzając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licytantów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trzecim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ogłoszeniu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zamyka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licytacje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udziela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przybicia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licytantowi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który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zaoferował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>najwyższą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cenę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. Z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chwilą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przybicia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następuje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zawarcie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umowy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sprzedaży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przedmiotu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14:paraId="396785EF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Nabywca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ponosi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wszystkie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koszty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dotyczące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pokrycia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zobowiązań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związanych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F448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br/>
        <w:t xml:space="preserve">z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przeniesieniem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prawa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własności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przedmiotu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przetargu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.</w:t>
      </w:r>
    </w:p>
    <w:p w14:paraId="5389E69C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Nabywca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jest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zobowiązany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zapłacić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cenę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nabycia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niezwłocznie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udzieleniu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mu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przybicia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uprzednim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zawarciu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umowy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sprzedaży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.</w:t>
      </w:r>
    </w:p>
    <w:p w14:paraId="6C60BEC5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Przekazanie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przedmiotu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licytacji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nabywcy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nastąpi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niezwłocznie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po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zapłaceniu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ceny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nabycia</w:t>
      </w:r>
      <w:proofErr w:type="spellEnd"/>
      <w:r w:rsidRPr="00F448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6836C13" w14:textId="77777777" w:rsidR="00F4487C" w:rsidRPr="00F4487C" w:rsidRDefault="00F4487C" w:rsidP="00820CBA">
      <w:pPr>
        <w:numPr>
          <w:ilvl w:val="0"/>
          <w:numId w:val="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Jeżeli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pierwszy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przetarg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zostanie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zakończony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zawarciem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umowy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sprzedaży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ogłasza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się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kolejny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przetarg</w:t>
      </w:r>
      <w:proofErr w:type="spellEnd"/>
      <w:r w:rsidRPr="00F4487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.</w:t>
      </w:r>
    </w:p>
    <w:p w14:paraId="36945ADD" w14:textId="77777777" w:rsidR="00230D7E" w:rsidRPr="00230D7E" w:rsidRDefault="00230D7E" w:rsidP="00230D7E">
      <w:pPr>
        <w:spacing w:before="36" w:after="0" w:line="240" w:lineRule="auto"/>
        <w:ind w:left="4248"/>
        <w:jc w:val="both"/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</w:pPr>
      <w:bookmarkStart w:id="0" w:name="_Hlk59101556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lastRenderedPageBreak/>
        <w:t>§ 8.</w:t>
      </w:r>
    </w:p>
    <w:p w14:paraId="746EA5A0" w14:textId="77777777" w:rsidR="00230D7E" w:rsidRPr="00230D7E" w:rsidRDefault="00230D7E" w:rsidP="00230D7E">
      <w:pPr>
        <w:spacing w:after="0" w:line="204" w:lineRule="auto"/>
        <w:ind w:left="3960"/>
        <w:jc w:val="both"/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>Protokół</w:t>
      </w:r>
      <w:proofErr w:type="spellEnd"/>
    </w:p>
    <w:p w14:paraId="3729669E" w14:textId="77881689" w:rsidR="00820CBA" w:rsidRPr="00820CBA" w:rsidRDefault="002D6604" w:rsidP="00820C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Po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zakończeniu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licytacji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komisja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sporządza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i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podpisuje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protokół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z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przeprowadzonego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postępowania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. Data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jego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podpisania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 jest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datą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zakończenia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przetargu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. </w:t>
      </w:r>
      <w:proofErr w:type="spellStart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>Protokół</w:t>
      </w:r>
      <w:proofErr w:type="spellEnd"/>
      <w:r w:rsidR="00230D7E" w:rsidRPr="00820CBA">
        <w:rPr>
          <w:rFonts w:ascii="Times New Roman" w:eastAsia="Calibri" w:hAnsi="Times New Roman" w:cs="Times New Roman"/>
          <w:bCs/>
          <w:color w:val="080C0C"/>
          <w:spacing w:val="1"/>
          <w:sz w:val="24"/>
          <w:szCs w:val="24"/>
          <w:lang w:val="en-US"/>
        </w:rPr>
        <w:t xml:space="preserve"> </w:t>
      </w:r>
    </w:p>
    <w:p w14:paraId="53D4E70E" w14:textId="2F49A41B" w:rsidR="00230D7E" w:rsidRPr="00820CBA" w:rsidRDefault="00230D7E" w:rsidP="00820CBA">
      <w:pPr>
        <w:pStyle w:val="Akapitzlist"/>
        <w:spacing w:after="0" w:line="240" w:lineRule="auto"/>
        <w:ind w:left="576"/>
        <w:jc w:val="both"/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</w:pPr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z </w:t>
      </w:r>
      <w:proofErr w:type="spellStart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przebiegu</w:t>
      </w:r>
      <w:proofErr w:type="spellEnd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licytacji</w:t>
      </w:r>
      <w:proofErr w:type="spellEnd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powinien</w:t>
      </w:r>
      <w:proofErr w:type="spellEnd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zawierać</w:t>
      </w:r>
      <w:proofErr w:type="spellEnd"/>
      <w:r w:rsidRPr="00820CBA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:</w:t>
      </w:r>
    </w:p>
    <w:p w14:paraId="29B0EEB6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>Datę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>miejsce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>licytacji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4"/>
          <w:sz w:val="24"/>
          <w:szCs w:val="24"/>
          <w:lang w:val="en-US"/>
        </w:rPr>
        <w:t>;</w:t>
      </w:r>
    </w:p>
    <w:p w14:paraId="03C281CE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Imiona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nazwiska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oraz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podpisy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członków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komisji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przetargowej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4"/>
          <w:sz w:val="24"/>
          <w:szCs w:val="24"/>
          <w:lang w:val="en-US"/>
        </w:rPr>
        <w:t>;</w:t>
      </w:r>
    </w:p>
    <w:p w14:paraId="57FA6C77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>Wysokość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>ceny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>wywoławczej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6"/>
          <w:sz w:val="24"/>
          <w:szCs w:val="24"/>
          <w:lang w:val="en-US"/>
        </w:rPr>
        <w:t>;</w:t>
      </w:r>
    </w:p>
    <w:p w14:paraId="3D1FE6A6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Wysokość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najwyższej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wylicytowanej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kwoty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za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przedmiot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licytacji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2"/>
          <w:sz w:val="24"/>
          <w:szCs w:val="24"/>
          <w:lang w:val="en-US"/>
        </w:rPr>
        <w:t>;</w:t>
      </w:r>
    </w:p>
    <w:p w14:paraId="0BE04AD8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Imię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nazwisko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(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firmę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)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mie</w:t>
      </w:r>
      <w:bookmarkStart w:id="1" w:name="_GoBack"/>
      <w:bookmarkEnd w:id="1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jsce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zamieszkania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nabywcy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lub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jego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siedzibę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;</w:t>
      </w:r>
    </w:p>
    <w:p w14:paraId="36A40075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Wysokość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ceny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nabycia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oznaczenie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kwoty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,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jako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nabywca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uiścił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na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poczet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ceny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7"/>
          <w:sz w:val="24"/>
          <w:szCs w:val="24"/>
          <w:lang w:val="en-US"/>
        </w:rPr>
        <w:t>;</w:t>
      </w:r>
    </w:p>
    <w:p w14:paraId="4CB266FD" w14:textId="77777777" w:rsidR="00230D7E" w:rsidRPr="00230D7E" w:rsidRDefault="00230D7E" w:rsidP="00820CBA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648"/>
        <w:jc w:val="both"/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Wnioski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oświadczenia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członków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komisji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przetargowej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;</w:t>
      </w:r>
    </w:p>
    <w:p w14:paraId="7325D39F" w14:textId="24EAD152" w:rsidR="00230D7E" w:rsidRPr="00230D7E" w:rsidRDefault="00230D7E" w:rsidP="00820CBA">
      <w:pPr>
        <w:spacing w:after="0" w:line="240" w:lineRule="auto"/>
        <w:ind w:left="216"/>
        <w:jc w:val="both"/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</w:pPr>
      <w:r w:rsidRPr="00230D7E">
        <w:rPr>
          <w:rFonts w:ascii="Times New Roman" w:eastAsia="Calibri" w:hAnsi="Times New Roman" w:cs="Times New Roman"/>
          <w:b/>
          <w:color w:val="080C0C"/>
          <w:spacing w:val="-9"/>
          <w:sz w:val="24"/>
          <w:szCs w:val="24"/>
          <w:lang w:val="en-US"/>
        </w:rPr>
        <w:t>2.</w:t>
      </w:r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r w:rsidR="00911D3F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Protokół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zatwierdza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Przewodniczący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komisji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przetargowej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9"/>
          <w:sz w:val="24"/>
          <w:szCs w:val="24"/>
          <w:lang w:val="en-US"/>
        </w:rPr>
        <w:t>.</w:t>
      </w:r>
    </w:p>
    <w:p w14:paraId="0D346131" w14:textId="5F6D0E9A" w:rsidR="00230D7E" w:rsidRPr="00230D7E" w:rsidRDefault="00230D7E" w:rsidP="00820CBA">
      <w:pPr>
        <w:spacing w:after="0" w:line="240" w:lineRule="auto"/>
        <w:ind w:left="216"/>
        <w:jc w:val="both"/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</w:pPr>
      <w:r w:rsidRPr="00230D7E">
        <w:rPr>
          <w:rFonts w:ascii="Times New Roman" w:eastAsia="Calibri" w:hAnsi="Times New Roman" w:cs="Times New Roman"/>
          <w:b/>
          <w:color w:val="080C0C"/>
          <w:spacing w:val="-6"/>
          <w:sz w:val="24"/>
          <w:szCs w:val="24"/>
          <w:lang w:val="en-US"/>
        </w:rPr>
        <w:t>3.</w:t>
      </w:r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r w:rsidR="00911D3F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Organizator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przetargu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może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go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unieważnić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lub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odwołać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bez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podania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przyczyn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6"/>
          <w:sz w:val="24"/>
          <w:szCs w:val="24"/>
          <w:lang w:val="en-US"/>
        </w:rPr>
        <w:t>.</w:t>
      </w:r>
    </w:p>
    <w:p w14:paraId="2D8153F7" w14:textId="77777777" w:rsidR="00230D7E" w:rsidRPr="00230D7E" w:rsidRDefault="00230D7E" w:rsidP="00230D7E">
      <w:pPr>
        <w:spacing w:before="180" w:after="0" w:line="240" w:lineRule="auto"/>
        <w:ind w:left="4248"/>
        <w:jc w:val="both"/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</w:pPr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>§  9.</w:t>
      </w:r>
    </w:p>
    <w:p w14:paraId="557F094A" w14:textId="77777777" w:rsidR="00230D7E" w:rsidRPr="00230D7E" w:rsidRDefault="00230D7E" w:rsidP="00230D7E">
      <w:pPr>
        <w:spacing w:after="0" w:line="206" w:lineRule="auto"/>
        <w:ind w:left="2952"/>
        <w:jc w:val="both"/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>Warunki</w:t>
      </w:r>
      <w:proofErr w:type="spellEnd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>odbioru</w:t>
      </w:r>
      <w:proofErr w:type="spellEnd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/>
          <w:color w:val="080C0C"/>
          <w:sz w:val="24"/>
          <w:szCs w:val="24"/>
          <w:lang w:val="en-US"/>
        </w:rPr>
        <w:t>samochodu</w:t>
      </w:r>
      <w:proofErr w:type="spellEnd"/>
    </w:p>
    <w:p w14:paraId="51B40B56" w14:textId="77777777" w:rsidR="00820CBA" w:rsidRDefault="00820CBA" w:rsidP="00230D7E">
      <w:pPr>
        <w:spacing w:after="0" w:line="240" w:lineRule="auto"/>
        <w:ind w:right="216"/>
        <w:jc w:val="both"/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Wydanie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przedmiotu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sprzedaży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nabywcy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następuje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po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zapłaceniu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ceny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nabycia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wynikającej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</w:p>
    <w:p w14:paraId="05943E91" w14:textId="3FCCCFB8" w:rsidR="00230D7E" w:rsidRPr="00230D7E" w:rsidRDefault="00820CBA" w:rsidP="00230D7E">
      <w:pPr>
        <w:spacing w:after="0" w:line="240" w:lineRule="auto"/>
        <w:ind w:right="216"/>
        <w:jc w:val="both"/>
        <w:rPr>
          <w:rFonts w:ascii="Times New Roman" w:eastAsia="Calibri" w:hAnsi="Times New Roman" w:cs="Times New Roman"/>
          <w:bCs/>
          <w:color w:val="080C0C"/>
          <w:spacing w:val="14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  </w:t>
      </w:r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z </w:t>
      </w:r>
      <w:r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przetargu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na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konto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bankowe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Gminy Wiśniew w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terminie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3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dni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od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zawarcia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 xml:space="preserve"> </w:t>
      </w:r>
      <w:proofErr w:type="spellStart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umowy</w:t>
      </w:r>
      <w:proofErr w:type="spellEnd"/>
      <w:r w:rsidR="00230D7E" w:rsidRPr="00230D7E">
        <w:rPr>
          <w:rFonts w:ascii="Times New Roman" w:eastAsia="Calibri" w:hAnsi="Times New Roman" w:cs="Times New Roman"/>
          <w:bCs/>
          <w:color w:val="080C0C"/>
          <w:spacing w:val="-8"/>
          <w:sz w:val="24"/>
          <w:szCs w:val="24"/>
          <w:lang w:val="en-US"/>
        </w:rPr>
        <w:t>.</w:t>
      </w:r>
    </w:p>
    <w:p w14:paraId="2330FC9F" w14:textId="0440AA2A" w:rsidR="00230D7E" w:rsidRPr="00230D7E" w:rsidRDefault="00820CBA" w:rsidP="00230D7E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  <w:t xml:space="preserve">  </w:t>
      </w:r>
      <w:proofErr w:type="spellStart"/>
      <w:r w:rsidR="00230D7E" w:rsidRPr="00230D7E"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  <w:t>Załączniki</w:t>
      </w:r>
      <w:proofErr w:type="spellEnd"/>
      <w:r w:rsidR="00230D7E" w:rsidRPr="00230D7E"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  <w:t xml:space="preserve"> do </w:t>
      </w:r>
      <w:proofErr w:type="spellStart"/>
      <w:r w:rsidR="00230D7E" w:rsidRPr="00230D7E"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  <w:t>Regulaminu</w:t>
      </w:r>
      <w:proofErr w:type="spellEnd"/>
      <w:r w:rsidR="00230D7E" w:rsidRPr="00230D7E">
        <w:rPr>
          <w:rFonts w:ascii="Times New Roman" w:eastAsia="Calibri" w:hAnsi="Times New Roman" w:cs="Times New Roman"/>
          <w:b/>
          <w:color w:val="080C0C"/>
          <w:spacing w:val="-12"/>
          <w:sz w:val="24"/>
          <w:szCs w:val="24"/>
          <w:lang w:val="en-US"/>
        </w:rPr>
        <w:t>:</w:t>
      </w:r>
    </w:p>
    <w:p w14:paraId="29581F3A" w14:textId="77777777" w:rsidR="00230D7E" w:rsidRPr="00230D7E" w:rsidRDefault="00230D7E" w:rsidP="00230D7E">
      <w:pPr>
        <w:numPr>
          <w:ilvl w:val="0"/>
          <w:numId w:val="12"/>
        </w:numPr>
        <w:tabs>
          <w:tab w:val="clear" w:pos="288"/>
          <w:tab w:val="decimal" w:pos="72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Załącznik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nr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1 -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formularz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-3"/>
          <w:sz w:val="24"/>
          <w:szCs w:val="24"/>
          <w:lang w:val="en-US"/>
        </w:rPr>
        <w:t>oświadczenia</w:t>
      </w:r>
      <w:proofErr w:type="spellEnd"/>
    </w:p>
    <w:p w14:paraId="34B2C824" w14:textId="77777777" w:rsidR="00230D7E" w:rsidRPr="00230D7E" w:rsidRDefault="00230D7E" w:rsidP="00230D7E">
      <w:pPr>
        <w:numPr>
          <w:ilvl w:val="0"/>
          <w:numId w:val="12"/>
        </w:numPr>
        <w:tabs>
          <w:tab w:val="clear" w:pos="288"/>
          <w:tab w:val="decimal" w:pos="72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</w:pP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>Załącznik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>nr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 xml:space="preserve"> 2 -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>wzór</w:t>
      </w:r>
      <w:proofErr w:type="spellEnd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 xml:space="preserve"> </w:t>
      </w:r>
      <w:proofErr w:type="spellStart"/>
      <w:r w:rsidRPr="00230D7E">
        <w:rPr>
          <w:rFonts w:ascii="Times New Roman" w:eastAsia="Calibri" w:hAnsi="Times New Roman" w:cs="Times New Roman"/>
          <w:bCs/>
          <w:color w:val="080C0C"/>
          <w:spacing w:val="2"/>
          <w:sz w:val="24"/>
          <w:szCs w:val="24"/>
          <w:lang w:val="en-US"/>
        </w:rPr>
        <w:t>umowy</w:t>
      </w:r>
      <w:bookmarkEnd w:id="0"/>
      <w:proofErr w:type="spellEnd"/>
    </w:p>
    <w:p w14:paraId="039775E5" w14:textId="3271DEE6" w:rsidR="005F4C22" w:rsidRDefault="005F4C22">
      <w:pPr>
        <w:rPr>
          <w:rFonts w:ascii="Calibri" w:eastAsia="Calibri" w:hAnsi="Calibri" w:cs="Times New Roman"/>
        </w:rPr>
      </w:pPr>
    </w:p>
    <w:p w14:paraId="7B1746D5" w14:textId="3E621C2B" w:rsidR="005F4C22" w:rsidRDefault="005F4C22"/>
    <w:sectPr w:rsidR="005F4C22">
      <w:pgSz w:w="11918" w:h="16854"/>
      <w:pgMar w:top="1686" w:right="1510" w:bottom="1678" w:left="1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46B"/>
    <w:multiLevelType w:val="hybridMultilevel"/>
    <w:tmpl w:val="49408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70213"/>
    <w:multiLevelType w:val="multilevel"/>
    <w:tmpl w:val="6BB8FC6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C2323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23F54"/>
    <w:multiLevelType w:val="hybridMultilevel"/>
    <w:tmpl w:val="66EE2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156184"/>
    <w:multiLevelType w:val="hybridMultilevel"/>
    <w:tmpl w:val="8B1C4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F6EF8"/>
    <w:multiLevelType w:val="multilevel"/>
    <w:tmpl w:val="00A8641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/>
        <w:strike w:val="0"/>
        <w:color w:val="1C2323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83FFA"/>
    <w:multiLevelType w:val="hybridMultilevel"/>
    <w:tmpl w:val="57F0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133"/>
    <w:multiLevelType w:val="multilevel"/>
    <w:tmpl w:val="4194426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C2323"/>
        <w:spacing w:val="-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204C60"/>
    <w:multiLevelType w:val="multilevel"/>
    <w:tmpl w:val="8BF2477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C2323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7D5557"/>
    <w:multiLevelType w:val="multilevel"/>
    <w:tmpl w:val="2466C67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 w:val="0"/>
        <w:strike w:val="0"/>
        <w:color w:val="080C0C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6C4F5F"/>
    <w:multiLevelType w:val="multilevel"/>
    <w:tmpl w:val="0576FDD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 w:val="0"/>
        <w:strike w:val="0"/>
        <w:color w:val="080C0C"/>
        <w:spacing w:val="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CA1B5F"/>
    <w:multiLevelType w:val="hybridMultilevel"/>
    <w:tmpl w:val="7DB4C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9B418C"/>
    <w:multiLevelType w:val="multilevel"/>
    <w:tmpl w:val="CF60193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C2323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15607"/>
    <w:multiLevelType w:val="multilevel"/>
    <w:tmpl w:val="2FB219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C2323"/>
        <w:spacing w:val="-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301720"/>
    <w:multiLevelType w:val="hybridMultilevel"/>
    <w:tmpl w:val="AC9A2C4C"/>
    <w:lvl w:ilvl="0" w:tplc="3CBA38A6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2"/>
    <w:rsid w:val="000F165A"/>
    <w:rsid w:val="0021017D"/>
    <w:rsid w:val="00230D7E"/>
    <w:rsid w:val="002D6604"/>
    <w:rsid w:val="005F4C22"/>
    <w:rsid w:val="00820CBA"/>
    <w:rsid w:val="00911D3F"/>
    <w:rsid w:val="00C86263"/>
    <w:rsid w:val="00F4487C"/>
    <w:rsid w:val="00F72FB0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0D4"/>
  <w15:chartTrackingRefBased/>
  <w15:docId w15:val="{2BE528FA-2E4E-4D99-8631-03D55C6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C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4C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4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Kierownik_GK</cp:lastModifiedBy>
  <cp:revision>3</cp:revision>
  <cp:lastPrinted>2021-02-09T11:57:00Z</cp:lastPrinted>
  <dcterms:created xsi:type="dcterms:W3CDTF">2021-02-03T11:49:00Z</dcterms:created>
  <dcterms:modified xsi:type="dcterms:W3CDTF">2021-02-09T11:58:00Z</dcterms:modified>
</cp:coreProperties>
</file>