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SPROSTOWANIE AKTU STANU CYWILNEGO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Sposób załatwienia sprawy: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  <w:br/>
        <w:t>Akt stanu cywilnego, który zawiera dane niezgodne z danymi zawartymi w aktach zbiorowych rejestracji stanu cywilnego lub z innymi aktami stanu cywilnego, o ile stwierdzają one zdarzenie wcześniejsze i dotyczą tej samej osoby lub jej wstępnych, albo z zagranicznymi dokumentami stanu cywilnego, podlega sprostowaniu przez kierownika urzędu stanu cywilnego, który go sporządził.</w:t>
        <w:br/>
        <w:t>Sprostowanie może być dokonane również na podstawie innych dokumentów, które należy dołączyć do podania: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archiwalnych aktów stanu cywilnego w postaci uwierzytelnionego odpisu, wpisu lub reprodukcji,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zagranicznych dokumentów stanu cywilnego jeżeli w państwie wystawienia jest on uznawany za dokument stanu cywilnego,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innych zagranicznych dokumentów potwierdzających stan cywilny, wydanych w państwie, które nie prowadzi rejestracji stanu cywilnego.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  <w:t>Akty stanu cywilnego cudzoziemców sporządzone przed dniem wejścia w życie niniejszej ustawy mogą zostać sprostowane na podstawie dokumentu podróży lub innego dokumentu potwierdzającego tożsamość i obywatelstwo, a akty stanu cywilnego dzieci cudzoziemców – na podstawie dokumentu podróży lub innego dokumentu potwierdzającego tożsamość i obywatelstwo rodziców.</w:t>
        <w:br/>
        <w:t>Sprostowania aktu stanu cywilnego dokonuje się z urzędu, na wniosek osoby, której ten akt dotyczy, lub jej przedstawiciela ustawowego, na wniosek osoby mającej w tym interes prawny lub prokuratora, w formie czynności materialno-technicznej.</w:t>
        <w:br/>
        <w:br/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Opłata skarbowa: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  <w:t>39 zł</w:t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Opłatę skarbową uiszcza się w kasie urzędu lub przelewem na konto: </w:t>
      </w:r>
      <w:r>
        <w:rPr>
          <w:rFonts w:cs="Times New Roman" w:ascii="Times New Roman" w:hAnsi="Times New Roman"/>
          <w:sz w:val="24"/>
          <w:szCs w:val="24"/>
        </w:rPr>
        <w:t xml:space="preserve">ESBANK Bank Spółdzielczy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Termin załatwienia sprawy: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  <w:br/>
        <w:t xml:space="preserve">Bez zbędnej zwłoki.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Podstawa prawna: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28 listopada 2014 r. Prawo o aktach stanu cywilnego (t.j. Dz. U. z 2020 r. poz. 463 z późn. zm.),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16 listopada 2006 r. o opłacie skarbowej (t.j. Dz. U. z 2019 r. poz. 1000 z późn. zm.),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Rozporządzenie Ministra Spraw Wewnętrznych z dnia 5 lutego 2015 r. w sprawie przenoszenia aktów stanu cywilnego do rejestru stanu cywilnego (Dz. U. z 2015 r., poz. 204),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Rozporządzenie Ministra Spraw Wewnętrznych z 9 lutego 2015 r. w sprawie sposobu prowadzenia rejestru stanu cywilnego oraz akt zbiorowych rejestracji stanu cywilnego (Dz. U. z 2015 r., poz. 225).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162c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7f4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 LibreOffice_project/9b0d9b32d5dcda91d2f1a96dc04c645c450872bf</Application>
  <Pages>2</Pages>
  <Words>327</Words>
  <Characters>1971</Characters>
  <CharactersWithSpaces>2288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2015-09-10T12:07:00Z</dcterms:created>
  <dc:creator>usc</dc:creator>
  <dc:description/>
  <dc:language>pl-PL</dc:language>
  <cp:lastModifiedBy/>
  <dcterms:modified xsi:type="dcterms:W3CDTF">2020-05-14T08:53:04Z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