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5EF" w:rsidRPr="00EF45EF" w:rsidRDefault="00EF45EF" w:rsidP="00EF45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5EF">
        <w:rPr>
          <w:rFonts w:ascii="Times New Roman" w:hAnsi="Times New Roman" w:cs="Times New Roman"/>
          <w:b/>
          <w:sz w:val="24"/>
          <w:szCs w:val="24"/>
        </w:rPr>
        <w:t>SPRAWOZDANIE</w:t>
      </w:r>
    </w:p>
    <w:p w:rsidR="00EF45EF" w:rsidRDefault="00EF45EF" w:rsidP="00EF45E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F45EF" w:rsidRPr="00E12F59" w:rsidRDefault="00EF45EF" w:rsidP="00EF45EF">
      <w:pPr>
        <w:jc w:val="center"/>
        <w:rPr>
          <w:b/>
          <w:u w:val="single"/>
        </w:rPr>
      </w:pPr>
      <w:r w:rsidRPr="00E12F59">
        <w:rPr>
          <w:rFonts w:ascii="Times New Roman" w:hAnsi="Times New Roman" w:cs="Times New Roman"/>
          <w:b/>
          <w:sz w:val="24"/>
          <w:szCs w:val="24"/>
          <w:u w:val="single"/>
        </w:rPr>
        <w:t xml:space="preserve">Konsultacje społeczne „Strategia rozwoju </w:t>
      </w:r>
      <w:proofErr w:type="spellStart"/>
      <w:r w:rsidRPr="00E12F59">
        <w:rPr>
          <w:rFonts w:ascii="Times New Roman" w:hAnsi="Times New Roman" w:cs="Times New Roman"/>
          <w:b/>
          <w:sz w:val="24"/>
          <w:szCs w:val="24"/>
          <w:u w:val="single"/>
        </w:rPr>
        <w:t>elektomobilności</w:t>
      </w:r>
      <w:proofErr w:type="spellEnd"/>
      <w:r w:rsidRPr="00E12F59">
        <w:rPr>
          <w:rFonts w:ascii="Times New Roman" w:hAnsi="Times New Roman" w:cs="Times New Roman"/>
          <w:b/>
          <w:sz w:val="24"/>
          <w:szCs w:val="24"/>
          <w:u w:val="single"/>
        </w:rPr>
        <w:t xml:space="preserve"> Gminy Pajęczno”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EF45EF" w:rsidRDefault="00EF45EF" w:rsidP="00EF45EF"/>
    <w:p w:rsidR="00EF45EF" w:rsidRDefault="00EF45EF" w:rsidP="00EF45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2F59">
        <w:rPr>
          <w:rFonts w:ascii="Times New Roman" w:hAnsi="Times New Roman" w:cs="Times New Roman"/>
          <w:sz w:val="24"/>
          <w:szCs w:val="24"/>
        </w:rPr>
        <w:t xml:space="preserve">Konsultacje społeczne zostały przeprowadzone w okresie od </w:t>
      </w:r>
      <w:r>
        <w:rPr>
          <w:rFonts w:ascii="Times New Roman" w:hAnsi="Times New Roman" w:cs="Times New Roman"/>
          <w:sz w:val="24"/>
          <w:szCs w:val="24"/>
        </w:rPr>
        <w:t>18 sierpnia do 25 września 2020</w:t>
      </w:r>
      <w:r w:rsidRPr="00E12F59">
        <w:rPr>
          <w:rFonts w:ascii="Times New Roman" w:hAnsi="Times New Roman" w:cs="Times New Roman"/>
          <w:sz w:val="24"/>
          <w:szCs w:val="24"/>
        </w:rPr>
        <w:t xml:space="preserve">r. Konsultacje zostały przeprowadzone w formie ankiety - umieszczonej na stronie internetowej Urzędu Miejskiego w Pajęcznie oraz ankiety przygotowanej dla uczniów szkół podstawowych z terenu </w:t>
      </w:r>
      <w:proofErr w:type="spellStart"/>
      <w:r w:rsidRPr="00E12F59">
        <w:rPr>
          <w:rFonts w:ascii="Times New Roman" w:hAnsi="Times New Roman" w:cs="Times New Roman"/>
          <w:sz w:val="24"/>
          <w:szCs w:val="24"/>
        </w:rPr>
        <w:t>gminy</w:t>
      </w:r>
      <w:proofErr w:type="spellEnd"/>
      <w:r w:rsidRPr="00E12F59">
        <w:rPr>
          <w:rFonts w:ascii="Times New Roman" w:hAnsi="Times New Roman" w:cs="Times New Roman"/>
          <w:sz w:val="24"/>
          <w:szCs w:val="24"/>
        </w:rPr>
        <w:t xml:space="preserve">. Niezwykle ważną grupą docelowa były dzieci i młodzież. Konsultacje przeprowadzono od 10 do 19 września 2020. Zgodnie z protokołem wzięło w nich udział 56 uczniów. W ramach konsultacji udostępniono </w:t>
      </w:r>
      <w:proofErr w:type="spellStart"/>
      <w:r w:rsidRPr="00E12F59">
        <w:rPr>
          <w:rFonts w:ascii="Times New Roman" w:hAnsi="Times New Roman" w:cs="Times New Roman"/>
          <w:sz w:val="24"/>
          <w:szCs w:val="24"/>
        </w:rPr>
        <w:t>projekt</w:t>
      </w:r>
      <w:proofErr w:type="spellEnd"/>
      <w:r w:rsidRPr="00E12F59">
        <w:rPr>
          <w:rFonts w:ascii="Times New Roman" w:hAnsi="Times New Roman" w:cs="Times New Roman"/>
          <w:sz w:val="24"/>
          <w:szCs w:val="24"/>
        </w:rPr>
        <w:t xml:space="preserve"> strategii </w:t>
      </w:r>
      <w:proofErr w:type="spellStart"/>
      <w:r w:rsidRPr="00E12F59">
        <w:rPr>
          <w:rFonts w:ascii="Times New Roman" w:hAnsi="Times New Roman" w:cs="Times New Roman"/>
          <w:sz w:val="24"/>
          <w:szCs w:val="24"/>
        </w:rPr>
        <w:t>elektromobilności</w:t>
      </w:r>
      <w:proofErr w:type="spellEnd"/>
      <w:r w:rsidRPr="00E12F59">
        <w:rPr>
          <w:rFonts w:ascii="Times New Roman" w:hAnsi="Times New Roman" w:cs="Times New Roman"/>
          <w:sz w:val="24"/>
          <w:szCs w:val="24"/>
        </w:rPr>
        <w:t xml:space="preserve"> w formie papierowej w Punkcie Informacyjnym Urzędu Miejskiego w Pajęcznie z możliwością zgłaszania uwag za pomocą formularza konsultacyjnego. Dodatkowo przeprowadzono spotkania warsztatowe zorganizowane w dniach 21 - 22 września 2020. W spotkaniach poruszono wiele kwestii związanych z </w:t>
      </w:r>
      <w:proofErr w:type="spellStart"/>
      <w:r w:rsidRPr="00E12F59">
        <w:rPr>
          <w:rFonts w:ascii="Times New Roman" w:hAnsi="Times New Roman" w:cs="Times New Roman"/>
          <w:sz w:val="24"/>
          <w:szCs w:val="24"/>
        </w:rPr>
        <w:t>elektromobilnością</w:t>
      </w:r>
      <w:proofErr w:type="spellEnd"/>
      <w:r w:rsidRPr="00E12F59">
        <w:rPr>
          <w:rFonts w:ascii="Times New Roman" w:hAnsi="Times New Roman" w:cs="Times New Roman"/>
          <w:sz w:val="24"/>
          <w:szCs w:val="24"/>
        </w:rPr>
        <w:t xml:space="preserve">. Konsultacje poprzedzone były elementami edukacyjnymi poświęconymi </w:t>
      </w:r>
      <w:proofErr w:type="spellStart"/>
      <w:r w:rsidRPr="00E12F59">
        <w:rPr>
          <w:rFonts w:ascii="Times New Roman" w:hAnsi="Times New Roman" w:cs="Times New Roman"/>
          <w:sz w:val="24"/>
          <w:szCs w:val="24"/>
        </w:rPr>
        <w:t>elektromobilności</w:t>
      </w:r>
      <w:proofErr w:type="spellEnd"/>
      <w:r w:rsidRPr="00E12F59">
        <w:rPr>
          <w:rFonts w:ascii="Times New Roman" w:hAnsi="Times New Roman" w:cs="Times New Roman"/>
          <w:sz w:val="24"/>
          <w:szCs w:val="24"/>
        </w:rPr>
        <w:t>. W konsultacjach wzięło udział około 100 osób.</w:t>
      </w:r>
    </w:p>
    <w:p w:rsidR="00EF45EF" w:rsidRDefault="00EF45EF" w:rsidP="00EF4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5EF" w:rsidRPr="00E12F59" w:rsidRDefault="00EF45EF" w:rsidP="00EF45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załączeniu raport z konsultacji społecznych.</w:t>
      </w:r>
    </w:p>
    <w:p w:rsidR="00EF45EF" w:rsidRPr="00E12F59" w:rsidRDefault="00EF45EF" w:rsidP="00EF45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45EF" w:rsidRDefault="00EF45EF" w:rsidP="00EF45EF">
      <w:pPr>
        <w:rPr>
          <w:rFonts w:ascii="Arial" w:hAnsi="Arial" w:cs="Arial"/>
          <w:sz w:val="72"/>
          <w:szCs w:val="72"/>
        </w:rPr>
      </w:pPr>
    </w:p>
    <w:p w:rsidR="00EF45EF" w:rsidRDefault="00EF45EF" w:rsidP="008A3E39">
      <w:pPr>
        <w:jc w:val="center"/>
        <w:rPr>
          <w:rFonts w:ascii="Arial" w:hAnsi="Arial" w:cs="Arial"/>
          <w:sz w:val="72"/>
          <w:szCs w:val="72"/>
        </w:rPr>
      </w:pPr>
    </w:p>
    <w:p w:rsidR="00EF45EF" w:rsidRDefault="00EF45EF" w:rsidP="00EF45EF">
      <w:pPr>
        <w:rPr>
          <w:rFonts w:ascii="Arial" w:hAnsi="Arial" w:cs="Arial"/>
          <w:sz w:val="72"/>
          <w:szCs w:val="72"/>
        </w:rPr>
      </w:pPr>
    </w:p>
    <w:p w:rsidR="00EF45EF" w:rsidRDefault="00EF45EF" w:rsidP="00EF45EF">
      <w:pPr>
        <w:rPr>
          <w:rFonts w:ascii="Arial" w:hAnsi="Arial" w:cs="Arial"/>
          <w:sz w:val="72"/>
          <w:szCs w:val="72"/>
        </w:rPr>
      </w:pPr>
    </w:p>
    <w:p w:rsidR="00EF45EF" w:rsidRDefault="00EF45EF" w:rsidP="008A3E39">
      <w:pPr>
        <w:jc w:val="center"/>
        <w:rPr>
          <w:rFonts w:ascii="Arial" w:hAnsi="Arial" w:cs="Arial"/>
          <w:sz w:val="72"/>
          <w:szCs w:val="72"/>
        </w:rPr>
      </w:pPr>
    </w:p>
    <w:p w:rsidR="00EF45EF" w:rsidRDefault="00EF45EF" w:rsidP="008A3E39">
      <w:pPr>
        <w:jc w:val="center"/>
        <w:rPr>
          <w:rFonts w:ascii="Arial" w:hAnsi="Arial" w:cs="Arial"/>
          <w:sz w:val="72"/>
          <w:szCs w:val="72"/>
        </w:rPr>
      </w:pPr>
    </w:p>
    <w:p w:rsidR="008A3E39" w:rsidRPr="00C01175" w:rsidRDefault="008A3E39" w:rsidP="008A3E39">
      <w:pPr>
        <w:jc w:val="center"/>
        <w:rPr>
          <w:rFonts w:ascii="Arial" w:hAnsi="Arial" w:cs="Arial"/>
          <w:sz w:val="72"/>
          <w:szCs w:val="72"/>
        </w:rPr>
      </w:pPr>
      <w:r w:rsidRPr="00C01175">
        <w:rPr>
          <w:noProof/>
          <w:lang w:eastAsia="pl-PL"/>
        </w:rPr>
        <w:drawing>
          <wp:inline distT="0" distB="0" distL="0" distR="0">
            <wp:extent cx="776177" cy="1003994"/>
            <wp:effectExtent l="0" t="0" r="5080" b="5715"/>
            <wp:docPr id="4" name="Obraz 4" descr="Gmina Pajęcz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mina Pajęczn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20" cy="102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9" w:rsidRPr="00C01175" w:rsidRDefault="008A3E39" w:rsidP="008A3E39">
      <w:pPr>
        <w:jc w:val="center"/>
        <w:rPr>
          <w:rFonts w:ascii="Arial" w:hAnsi="Arial" w:cs="Arial"/>
          <w:sz w:val="72"/>
          <w:szCs w:val="72"/>
        </w:rPr>
      </w:pPr>
      <w:r w:rsidRPr="00C01175">
        <w:rPr>
          <w:rFonts w:ascii="Arial" w:hAnsi="Arial" w:cs="Arial"/>
          <w:sz w:val="52"/>
          <w:szCs w:val="52"/>
        </w:rPr>
        <w:t>Gmina Pajęczno</w:t>
      </w:r>
    </w:p>
    <w:p w:rsidR="008A3E39" w:rsidRPr="009D4FA0" w:rsidRDefault="008A3E39" w:rsidP="008A3E39">
      <w:pPr>
        <w:jc w:val="center"/>
        <w:rPr>
          <w:rFonts w:ascii="Arial" w:hAnsi="Arial" w:cs="Arial"/>
          <w:color w:val="FF0000"/>
          <w:sz w:val="56"/>
          <w:szCs w:val="56"/>
        </w:rPr>
      </w:pPr>
    </w:p>
    <w:p w:rsidR="008A3E39" w:rsidRPr="008A3E39" w:rsidRDefault="008A3E39" w:rsidP="008A3E39">
      <w:pPr>
        <w:jc w:val="center"/>
        <w:rPr>
          <w:rFonts w:ascii="Arial" w:hAnsi="Arial" w:cs="Arial"/>
          <w:sz w:val="48"/>
          <w:szCs w:val="48"/>
        </w:rPr>
      </w:pPr>
      <w:r w:rsidRPr="008A3E39">
        <w:rPr>
          <w:rFonts w:ascii="Arial" w:hAnsi="Arial" w:cs="Arial"/>
          <w:sz w:val="48"/>
          <w:szCs w:val="48"/>
        </w:rPr>
        <w:t>RAPORT Z KONSULTACJI SPOŁECZNYCH</w:t>
      </w:r>
    </w:p>
    <w:p w:rsidR="008A3E39" w:rsidRPr="008A3E39" w:rsidRDefault="008A3E39" w:rsidP="008A3E39">
      <w:pPr>
        <w:jc w:val="center"/>
        <w:rPr>
          <w:rFonts w:ascii="Arial" w:hAnsi="Arial" w:cs="Arial"/>
          <w:sz w:val="48"/>
          <w:szCs w:val="48"/>
        </w:rPr>
      </w:pPr>
      <w:r w:rsidRPr="008A3E39">
        <w:rPr>
          <w:rFonts w:ascii="Arial" w:hAnsi="Arial" w:cs="Arial"/>
          <w:sz w:val="48"/>
          <w:szCs w:val="48"/>
        </w:rPr>
        <w:t>STRATEGII ROZWOJU ELEKTROMOBILNOŚCI GMINY PAJĘCZNO</w:t>
      </w:r>
    </w:p>
    <w:p w:rsidR="008A3E39" w:rsidRPr="00C01175" w:rsidRDefault="008A3E39" w:rsidP="008A3E39">
      <w:pPr>
        <w:jc w:val="center"/>
        <w:rPr>
          <w:rFonts w:ascii="Arial" w:hAnsi="Arial" w:cs="Arial"/>
          <w:sz w:val="56"/>
          <w:szCs w:val="56"/>
        </w:rPr>
      </w:pPr>
    </w:p>
    <w:p w:rsidR="008A3E39" w:rsidRPr="009D4FA0" w:rsidRDefault="008A3E39" w:rsidP="008A3E39">
      <w:pPr>
        <w:rPr>
          <w:rFonts w:ascii="Arial" w:hAnsi="Arial" w:cs="Arial"/>
          <w:color w:val="FF0000"/>
          <w:sz w:val="72"/>
          <w:szCs w:val="72"/>
        </w:rPr>
      </w:pPr>
      <w:r w:rsidRPr="00C01175">
        <w:rPr>
          <w:rFonts w:ascii="Arial" w:hAnsi="Arial" w:cs="Arial"/>
          <w:noProof/>
          <w:color w:val="FF0000"/>
          <w:sz w:val="72"/>
          <w:szCs w:val="72"/>
          <w:lang w:eastAsia="pl-PL"/>
        </w:rPr>
        <w:drawing>
          <wp:inline distT="0" distB="0" distL="0" distR="0">
            <wp:extent cx="5611008" cy="2591162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E39" w:rsidRPr="009D4FA0" w:rsidRDefault="008A3E39" w:rsidP="008A3E39">
      <w:pPr>
        <w:rPr>
          <w:rFonts w:ascii="Arial" w:hAnsi="Arial" w:cs="Arial"/>
          <w:color w:val="FF0000"/>
          <w:sz w:val="72"/>
          <w:szCs w:val="72"/>
        </w:rPr>
      </w:pPr>
    </w:p>
    <w:p w:rsidR="008A3E39" w:rsidRPr="009D4FA0" w:rsidRDefault="008A3E39" w:rsidP="008A3E39">
      <w:pPr>
        <w:rPr>
          <w:rFonts w:ascii="Arial" w:hAnsi="Arial" w:cs="Arial"/>
          <w:color w:val="FF0000"/>
          <w:sz w:val="72"/>
          <w:szCs w:val="72"/>
        </w:rPr>
      </w:pPr>
    </w:p>
    <w:p w:rsidR="008A3E39" w:rsidRPr="009D4FA0" w:rsidRDefault="008A3E39" w:rsidP="008A3E39">
      <w:pPr>
        <w:rPr>
          <w:rFonts w:ascii="Arial" w:hAnsi="Arial" w:cs="Arial"/>
          <w:color w:val="FF0000"/>
          <w:sz w:val="72"/>
          <w:szCs w:val="72"/>
        </w:rPr>
      </w:pPr>
    </w:p>
    <w:p w:rsidR="008A3E39" w:rsidRPr="009D4FA0" w:rsidRDefault="008A3E39" w:rsidP="008A3E39">
      <w:pPr>
        <w:jc w:val="center"/>
        <w:rPr>
          <w:rFonts w:ascii="Arial" w:hAnsi="Arial" w:cs="Arial"/>
          <w:color w:val="FF0000"/>
          <w:sz w:val="72"/>
          <w:szCs w:val="72"/>
        </w:rPr>
      </w:pPr>
      <w:r w:rsidRPr="009D4FA0">
        <w:rPr>
          <w:noProof/>
          <w:color w:val="FF0000"/>
          <w:lang w:eastAsia="pl-PL"/>
        </w:rPr>
        <w:drawing>
          <wp:inline distT="0" distB="0" distL="0" distR="0">
            <wp:extent cx="4061460" cy="2006555"/>
            <wp:effectExtent l="0" t="0" r="0" b="0"/>
            <wp:docPr id="1" name="Obraz 1" descr="Znalezione obrazy dla zapytania: narodowy fundusz ochrony środowiska i gospodarki wod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: narodowy fundusz ochrony środowiska i gospodarki wodnej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637" cy="201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9" w:rsidRPr="00C01175" w:rsidRDefault="008A3E39" w:rsidP="008A3E39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C01175">
        <w:rPr>
          <w:rFonts w:ascii="Arial" w:hAnsi="Arial" w:cs="Arial"/>
          <w:i/>
          <w:iCs/>
          <w:sz w:val="24"/>
          <w:szCs w:val="24"/>
        </w:rPr>
        <w:t>Strategia Rozwoju Elektromobilności na terenie Gminy Pajęczno została sfinansowana ze środków Narodowego Funduszu Ochrony Środowiska  i Gospodarki Wodnej w ramach programu GEPARD II – transport  niskoemisyjny Część 2) Strategia rozwoju elektromobilności</w:t>
      </w:r>
    </w:p>
    <w:p w:rsidR="008A3E39" w:rsidRPr="009D4FA0" w:rsidRDefault="008A3E39" w:rsidP="008A3E39">
      <w:pPr>
        <w:rPr>
          <w:rFonts w:ascii="Arial" w:hAnsi="Arial" w:cs="Arial"/>
          <w:color w:val="FF0000"/>
          <w:sz w:val="72"/>
          <w:szCs w:val="72"/>
        </w:rPr>
      </w:pPr>
    </w:p>
    <w:p w:rsidR="008A3E39" w:rsidRPr="009D4FA0" w:rsidRDefault="008A3E39" w:rsidP="008A3E39">
      <w:pPr>
        <w:rPr>
          <w:rFonts w:ascii="Arial" w:hAnsi="Arial" w:cs="Arial"/>
          <w:color w:val="FF0000"/>
          <w:sz w:val="72"/>
          <w:szCs w:val="72"/>
        </w:rPr>
      </w:pPr>
    </w:p>
    <w:p w:rsidR="004F03C6" w:rsidRDefault="004F03C6"/>
    <w:p w:rsidR="008A3E39" w:rsidRDefault="008A3E39"/>
    <w:p w:rsidR="008A3E39" w:rsidRDefault="008A3E39"/>
    <w:p w:rsidR="008A3E39" w:rsidRDefault="008A3E39"/>
    <w:p w:rsidR="008A3E39" w:rsidRDefault="008A3E39"/>
    <w:p w:rsidR="008A3E39" w:rsidRDefault="008A3E39"/>
    <w:p w:rsidR="008A3E39" w:rsidRDefault="008A3E39"/>
    <w:p w:rsidR="008A3E39" w:rsidRDefault="008A3E39"/>
    <w:p w:rsidR="008A3E39" w:rsidRDefault="008A3E39"/>
    <w:p w:rsidR="008A3E39" w:rsidRDefault="008A3E39"/>
    <w:p w:rsidR="008A3E39" w:rsidRDefault="008A3E39"/>
    <w:p w:rsidR="008A3E39" w:rsidRDefault="008A3E39"/>
    <w:p w:rsidR="008A3E39" w:rsidRPr="00002EA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02EA9">
        <w:rPr>
          <w:rFonts w:ascii="Arial" w:hAnsi="Arial" w:cs="Arial"/>
          <w:sz w:val="20"/>
          <w:szCs w:val="20"/>
        </w:rPr>
        <w:t xml:space="preserve">Konsultacje społeczne są nie tylko elementem niezbędnym do stworzenia Strategii, ale również konieczne do jej prawidłowego wdrożenia. Mieszkańcy gminy muszą mieć pewność, że to Strategia stworzona przez nich. W ten sposób mają utożsamiać się z nią i aktywnie uczestniczyć w jej realizacji. Jednym z ważnych elementów na który trzeba zwrócić uwagę to typ Strategii. Elektromobilność jest innowacją w Polsce. Wzbudza duże zainteresowanie głównie pośród ludzi młodych. Dlatego ich zaangażowanie jest szczególnie potrzebne. Zbiór uczestników konsultacji był poszerzony również o dzieci i młodzież szkolną, ponieważ to te osoby są szczególnie pomysłowe i już dziś są użytkownikami pojazdów elektrycznych (hulajnogi, rowery, </w:t>
      </w:r>
      <w:proofErr w:type="spellStart"/>
      <w:r w:rsidRPr="00002EA9">
        <w:rPr>
          <w:rFonts w:ascii="Arial" w:hAnsi="Arial" w:cs="Arial"/>
          <w:sz w:val="20"/>
          <w:szCs w:val="20"/>
        </w:rPr>
        <w:t>hoverboardy</w:t>
      </w:r>
      <w:proofErr w:type="spellEnd"/>
      <w:r w:rsidRPr="00002EA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02EA9">
        <w:rPr>
          <w:rFonts w:ascii="Arial" w:hAnsi="Arial" w:cs="Arial"/>
          <w:sz w:val="20"/>
          <w:szCs w:val="20"/>
        </w:rPr>
        <w:t>e-quady</w:t>
      </w:r>
      <w:proofErr w:type="spellEnd"/>
      <w:r w:rsidRPr="00002EA9">
        <w:rPr>
          <w:rFonts w:ascii="Arial" w:hAnsi="Arial" w:cs="Arial"/>
          <w:sz w:val="20"/>
          <w:szCs w:val="20"/>
        </w:rPr>
        <w:t xml:space="preserve">). Dlatego pomysłowość dzieci i młodzieży spowodowała, że strategia jest ciekawa i użyteczna. Dzieci i młodzież mogą stać się również w przyszłości ambasadorami elektromobilności w swoich rodzinach. Oczywiście w konsultacjach społecznych wzięły udział wszystkie grupy wiekowe. </w:t>
      </w:r>
    </w:p>
    <w:p w:rsidR="008A3E3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002EA9">
        <w:rPr>
          <w:rFonts w:ascii="Arial" w:hAnsi="Arial" w:cs="Arial"/>
          <w:sz w:val="20"/>
          <w:szCs w:val="20"/>
        </w:rPr>
        <w:t xml:space="preserve">ykorzystano media gminne, ankiety, aby lepiej zrozumieć potrzeby mieszkańców oraz wykorzystać ich wiedzę dla planowania strategicznego rozwoju elektromobilności. </w:t>
      </w:r>
    </w:p>
    <w:p w:rsidR="008A3E39" w:rsidRPr="00002EA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8A3E39" w:rsidRPr="00002EA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02EA9">
        <w:rPr>
          <w:rFonts w:ascii="Arial" w:hAnsi="Arial" w:cs="Arial"/>
          <w:sz w:val="20"/>
          <w:szCs w:val="20"/>
        </w:rPr>
        <w:t xml:space="preserve">Poniżej przedstawiono niektóre z wyników ankiety przeprowadzonej podczas tworzenia Strategii Elektromobilności. </w:t>
      </w:r>
      <w:r>
        <w:rPr>
          <w:rFonts w:ascii="Arial" w:hAnsi="Arial" w:cs="Arial"/>
          <w:sz w:val="20"/>
          <w:szCs w:val="20"/>
        </w:rPr>
        <w:t xml:space="preserve">Ankieta została wykonana z pomocą systemy Google </w:t>
      </w:r>
      <w:proofErr w:type="spellStart"/>
      <w:r>
        <w:rPr>
          <w:rFonts w:ascii="Arial" w:hAnsi="Arial" w:cs="Arial"/>
          <w:sz w:val="20"/>
          <w:szCs w:val="20"/>
        </w:rPr>
        <w:t>Docs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</w:p>
    <w:p w:rsidR="008A3E39" w:rsidRPr="009D4FA0" w:rsidRDefault="008A3E39" w:rsidP="008A3E39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pl-PL"/>
        </w:rPr>
        <w:drawing>
          <wp:inline distT="0" distB="0" distL="0" distR="0">
            <wp:extent cx="5760720" cy="242379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9" w:rsidRPr="009D4FA0" w:rsidRDefault="008A3E39" w:rsidP="008A3E39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8A3E39" w:rsidRPr="009D4FA0" w:rsidRDefault="008A3E39" w:rsidP="008A3E39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8A3E39" w:rsidRPr="009D4FA0" w:rsidRDefault="008A3E39" w:rsidP="008A3E39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8A3E39" w:rsidRPr="009D4FA0" w:rsidRDefault="008A3E39" w:rsidP="008A3E39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pl-PL"/>
        </w:rPr>
        <w:lastRenderedPageBreak/>
        <w:drawing>
          <wp:inline distT="0" distB="0" distL="0" distR="0">
            <wp:extent cx="5760720" cy="2738755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9" w:rsidRDefault="008A3E39" w:rsidP="008A3E39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pl-PL"/>
        </w:rPr>
        <w:drawing>
          <wp:inline distT="0" distB="0" distL="0" distR="0">
            <wp:extent cx="5760720" cy="26130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9" w:rsidRDefault="008A3E39" w:rsidP="008A3E39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pl-PL"/>
        </w:rPr>
        <w:drawing>
          <wp:inline distT="0" distB="0" distL="0" distR="0">
            <wp:extent cx="5760720" cy="26130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9" w:rsidRDefault="008A3E39" w:rsidP="008A3E39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pl-PL"/>
        </w:rPr>
        <w:lastRenderedPageBreak/>
        <w:drawing>
          <wp:inline distT="0" distB="0" distL="0" distR="0">
            <wp:extent cx="5760720" cy="2738755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9" w:rsidRDefault="008A3E39" w:rsidP="008A3E39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pl-PL"/>
        </w:rPr>
        <w:drawing>
          <wp:inline distT="0" distB="0" distL="0" distR="0">
            <wp:extent cx="5760720" cy="2738755"/>
            <wp:effectExtent l="0" t="0" r="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9" w:rsidRDefault="008A3E39" w:rsidP="008A3E39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pl-PL"/>
        </w:rPr>
        <w:drawing>
          <wp:inline distT="0" distB="0" distL="0" distR="0">
            <wp:extent cx="5760720" cy="242379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9" w:rsidRDefault="008A3E39" w:rsidP="008A3E39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pl-PL"/>
        </w:rPr>
        <w:lastRenderedPageBreak/>
        <w:drawing>
          <wp:inline distT="0" distB="0" distL="0" distR="0">
            <wp:extent cx="5760720" cy="261302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9" w:rsidRPr="009D4FA0" w:rsidRDefault="008A3E39" w:rsidP="008A3E39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pl-PL"/>
        </w:rPr>
        <w:drawing>
          <wp:inline distT="0" distB="0" distL="0" distR="0">
            <wp:extent cx="5760720" cy="2738755"/>
            <wp:effectExtent l="0" t="0" r="0" b="444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9" w:rsidRPr="00002EA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02EA9">
        <w:rPr>
          <w:rFonts w:ascii="Arial" w:hAnsi="Arial" w:cs="Arial"/>
          <w:sz w:val="20"/>
          <w:szCs w:val="20"/>
        </w:rPr>
        <w:t>Główne wnioski płynące z konsultacji społecznych to:</w:t>
      </w:r>
    </w:p>
    <w:p w:rsidR="008A3E39" w:rsidRPr="00002EA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02EA9">
        <w:rPr>
          <w:rFonts w:ascii="Arial" w:hAnsi="Arial" w:cs="Arial"/>
          <w:sz w:val="20"/>
          <w:szCs w:val="20"/>
        </w:rPr>
        <w:t>- mieszkańcy mają dużą wiedze o problemach elektromobilności (również o technice, innowacjach w tym zakresie, śledzą rynek, możliwe dotacje),</w:t>
      </w:r>
    </w:p>
    <w:p w:rsidR="008A3E39" w:rsidRPr="00002EA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02EA9">
        <w:rPr>
          <w:rFonts w:ascii="Arial" w:hAnsi="Arial" w:cs="Arial"/>
          <w:sz w:val="20"/>
          <w:szCs w:val="20"/>
        </w:rPr>
        <w:t>- mieszkańcy gminy Pajęczno rzadko czują związek w województwem łódzkim, brak połączeń z Łodzią powoduje, że pracują, uczą się w Częstochowie, Bełchatowie, Wieluniu,</w:t>
      </w:r>
    </w:p>
    <w:p w:rsidR="008A3E39" w:rsidRPr="00002EA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02EA9">
        <w:rPr>
          <w:rFonts w:ascii="Arial" w:hAnsi="Arial" w:cs="Arial"/>
          <w:sz w:val="20"/>
          <w:szCs w:val="20"/>
        </w:rPr>
        <w:t xml:space="preserve">- mieszkańcy czują, że gmina jest pomijana przez władze województwa (nie istnieją połączenia kolejowe a komunikacja autobusowa powoli zamiera), </w:t>
      </w:r>
    </w:p>
    <w:p w:rsidR="008A3E39" w:rsidRPr="00002EA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02EA9">
        <w:rPr>
          <w:rFonts w:ascii="Arial" w:hAnsi="Arial" w:cs="Arial"/>
          <w:sz w:val="20"/>
          <w:szCs w:val="20"/>
        </w:rPr>
        <w:t xml:space="preserve">- niezwykle szeroką wiedzę posiada młodzież i dzieci i sami potrafią formułować cele na podstawie samodzielnie zdefiniowanych problemów, </w:t>
      </w:r>
    </w:p>
    <w:p w:rsidR="008A3E39" w:rsidRPr="00002EA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02EA9">
        <w:rPr>
          <w:rFonts w:ascii="Arial" w:hAnsi="Arial" w:cs="Arial"/>
          <w:sz w:val="20"/>
          <w:szCs w:val="20"/>
        </w:rPr>
        <w:t>- zdanie mieszkańców rozwój elektromobilności w gminie rozpocznie się raczej od rowerów i innych jednośladów, staną się ona powszechne,</w:t>
      </w:r>
    </w:p>
    <w:p w:rsidR="008A3E39" w:rsidRPr="00002EA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02EA9">
        <w:rPr>
          <w:rFonts w:ascii="Arial" w:hAnsi="Arial" w:cs="Arial"/>
          <w:sz w:val="20"/>
          <w:szCs w:val="20"/>
        </w:rPr>
        <w:lastRenderedPageBreak/>
        <w:t>- istnieje duża świadomość o niebezpieczeństwach użytkowania jednośladów elektrycznych (zarówno dla ich użytkowników jak i innych uczestników ruchu drogowego czy pieszego),</w:t>
      </w:r>
    </w:p>
    <w:p w:rsidR="008A3E39" w:rsidRPr="00002EA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02EA9">
        <w:rPr>
          <w:rFonts w:ascii="Arial" w:hAnsi="Arial" w:cs="Arial"/>
          <w:sz w:val="20"/>
          <w:szCs w:val="20"/>
        </w:rPr>
        <w:t xml:space="preserve">- mieszkańcy uzależniają zakup pojazdów elektrycznych od ogólnodostępnej infrastruktury ładowania, </w:t>
      </w:r>
    </w:p>
    <w:p w:rsidR="008A3E39" w:rsidRPr="00002EA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02EA9">
        <w:rPr>
          <w:rFonts w:ascii="Arial" w:hAnsi="Arial" w:cs="Arial"/>
          <w:sz w:val="20"/>
          <w:szCs w:val="20"/>
        </w:rPr>
        <w:t>- ważnym czynnikiem wpływającym na zakup pojazdów będą dotacje i inne systemy wsparcia dla osób fizycznych,</w:t>
      </w:r>
    </w:p>
    <w:p w:rsidR="008A3E39" w:rsidRPr="00002EA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02EA9">
        <w:rPr>
          <w:rFonts w:ascii="Arial" w:hAnsi="Arial" w:cs="Arial"/>
          <w:sz w:val="20"/>
          <w:szCs w:val="20"/>
        </w:rPr>
        <w:t>- ważnym czynnikiem wpływającym na zakup pojazdów będą również inne przywileje takie jak np. wydzielone miejsca parkingowe, bezpłatne stacje ładowania itp.</w:t>
      </w:r>
    </w:p>
    <w:p w:rsidR="008A3E39" w:rsidRPr="00002EA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02EA9">
        <w:rPr>
          <w:rFonts w:ascii="Arial" w:hAnsi="Arial" w:cs="Arial"/>
          <w:sz w:val="20"/>
          <w:szCs w:val="20"/>
        </w:rPr>
        <w:t>- w gminie brakuje miejsc magazynowania i przechowywania jednośladów elektrycznych (zarówno w miejscach publicznych jak i pod sklepami itp.),</w:t>
      </w:r>
    </w:p>
    <w:p w:rsidR="008A3E39" w:rsidRPr="00002EA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02EA9">
        <w:rPr>
          <w:rFonts w:ascii="Arial" w:hAnsi="Arial" w:cs="Arial"/>
          <w:sz w:val="20"/>
          <w:szCs w:val="20"/>
        </w:rPr>
        <w:t>- zdaniem mieszkańców kluczem do rozwoju elektromobilności jest rozwój i wykorzystanie energii odnawialnej w domach prywatnych (konieczne są systemy wsparcia).</w:t>
      </w:r>
    </w:p>
    <w:p w:rsidR="008A3E39" w:rsidRDefault="008A3E39"/>
    <w:p w:rsidR="008A3E39" w:rsidRDefault="008A3E39"/>
    <w:p w:rsidR="008A3E39" w:rsidRDefault="008A3E39"/>
    <w:p w:rsidR="008A3E3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A3E39">
        <w:rPr>
          <w:rFonts w:ascii="Arial" w:hAnsi="Arial" w:cs="Arial"/>
          <w:sz w:val="20"/>
          <w:szCs w:val="20"/>
        </w:rPr>
        <w:t xml:space="preserve">Ankietę przeprowadzono również pośród dzieci. Ankiety były wykonywane podczas zajęć z nauczycielami. Celem ankiety była również podstawowa edukacja o elektromobilności. </w:t>
      </w:r>
      <w:r>
        <w:rPr>
          <w:rFonts w:ascii="Arial" w:hAnsi="Arial" w:cs="Arial"/>
          <w:sz w:val="20"/>
          <w:szCs w:val="20"/>
        </w:rPr>
        <w:t>Oto jej wyniki:</w:t>
      </w:r>
    </w:p>
    <w:p w:rsidR="008A3E3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273875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60720" cy="273875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2738755"/>
            <wp:effectExtent l="0" t="0" r="0" b="444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2738755"/>
            <wp:effectExtent l="0" t="0" r="0" b="444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3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Najważniejsze wnioski z ankiet w szkołach to:</w:t>
      </w:r>
    </w:p>
    <w:p w:rsidR="008A3E3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podstawową formą transportu wśród dzieci jest rower jednak coraz większą popularność uzyskują hulajnogi,</w:t>
      </w:r>
    </w:p>
    <w:p w:rsidR="008A3E3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dzieci posiadają już pierwsze rowery elektryczne, liczyć się należy ze wzrostem ich ilości w kolejnych latach,</w:t>
      </w:r>
    </w:p>
    <w:p w:rsidR="008A3E39" w:rsidRDefault="008A3E3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tylko około 25% dzieci </w:t>
      </w:r>
      <w:r w:rsidR="00A60F49">
        <w:rPr>
          <w:rFonts w:ascii="Arial" w:hAnsi="Arial" w:cs="Arial"/>
          <w:sz w:val="20"/>
          <w:szCs w:val="20"/>
        </w:rPr>
        <w:t xml:space="preserve">nie </w:t>
      </w:r>
      <w:r>
        <w:rPr>
          <w:rFonts w:ascii="Arial" w:hAnsi="Arial" w:cs="Arial"/>
          <w:sz w:val="20"/>
          <w:szCs w:val="20"/>
        </w:rPr>
        <w:t xml:space="preserve">używa kasków podczas jazdy rowerem </w:t>
      </w:r>
      <w:r w:rsidR="00A60F49">
        <w:rPr>
          <w:rFonts w:ascii="Arial" w:hAnsi="Arial" w:cs="Arial"/>
          <w:sz w:val="20"/>
          <w:szCs w:val="20"/>
        </w:rPr>
        <w:t>lub deskorolką, jest to tendencja widoczna przy obserwacjach w gminie,</w:t>
      </w:r>
    </w:p>
    <w:p w:rsidR="00A60F49" w:rsidRDefault="00A60F4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mało dzieci dojeżdża do szkoły rowerem lub hulajnogą. Głównym problemem jest tu bark dróg dla rowerów lub chodników. </w:t>
      </w:r>
    </w:p>
    <w:p w:rsidR="00A60F49" w:rsidRDefault="00A60F4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60F49" w:rsidRPr="008A3E39" w:rsidRDefault="00A60F49" w:rsidP="008A3E39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A60F49" w:rsidRPr="008A3E39" w:rsidSect="001F39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A3E39"/>
    <w:rsid w:val="00102676"/>
    <w:rsid w:val="001F39DA"/>
    <w:rsid w:val="00202307"/>
    <w:rsid w:val="004E0112"/>
    <w:rsid w:val="004F03C6"/>
    <w:rsid w:val="004F6D41"/>
    <w:rsid w:val="00591016"/>
    <w:rsid w:val="005E6175"/>
    <w:rsid w:val="008A3E39"/>
    <w:rsid w:val="00A60F49"/>
    <w:rsid w:val="00C72171"/>
    <w:rsid w:val="00EF45EF"/>
    <w:rsid w:val="00EF6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E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F6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741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Przemysław Bajor</dc:creator>
  <cp:lastModifiedBy>mwalasik</cp:lastModifiedBy>
  <cp:revision>2</cp:revision>
  <cp:lastPrinted>2020-11-03T10:29:00Z</cp:lastPrinted>
  <dcterms:created xsi:type="dcterms:W3CDTF">2020-11-03T12:37:00Z</dcterms:created>
  <dcterms:modified xsi:type="dcterms:W3CDTF">2020-11-03T12:37:00Z</dcterms:modified>
</cp:coreProperties>
</file>